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FCE72" w14:textId="00F42EB9" w:rsidR="00D33451" w:rsidRDefault="00D33451" w:rsidP="00D33451">
      <w:pPr>
        <w:pStyle w:val="CH"/>
      </w:pPr>
      <w:bookmarkStart w:id="0" w:name="historyclause"/>
      <w:r w:rsidRPr="006073EA">
        <w:t>3GPP RAN WG</w:t>
      </w:r>
      <w:r>
        <w:t>4</w:t>
      </w:r>
      <w:r w:rsidRPr="006073EA">
        <w:t xml:space="preserve"> Meeting #</w:t>
      </w:r>
      <w:r>
        <w:t>116</w:t>
      </w:r>
      <w:r>
        <w:tab/>
      </w:r>
      <w:r>
        <w:tab/>
      </w:r>
      <w:r w:rsidR="00453C17" w:rsidRPr="00453C17">
        <w:t>R4-2509543</w:t>
      </w:r>
    </w:p>
    <w:p w14:paraId="01EFBDFD" w14:textId="77777777" w:rsidR="00D33451" w:rsidRPr="00FD166F" w:rsidRDefault="00D33451" w:rsidP="00D33451">
      <w:pPr>
        <w:pStyle w:val="CH"/>
        <w:tabs>
          <w:tab w:val="clear" w:pos="7920"/>
        </w:tabs>
        <w:rPr>
          <w:b w:val="0"/>
        </w:rPr>
      </w:pPr>
      <w:r>
        <w:t>Bengaluru, India, August</w:t>
      </w:r>
      <w:r w:rsidRPr="00A14D3F">
        <w:t xml:space="preserve"> </w:t>
      </w:r>
      <w:r>
        <w:t>25</w:t>
      </w:r>
      <w:r>
        <w:rPr>
          <w:vertAlign w:val="superscript"/>
        </w:rPr>
        <w:t>th</w:t>
      </w:r>
      <w:r w:rsidRPr="00A14D3F">
        <w:t xml:space="preserve"> – </w:t>
      </w:r>
      <w:r>
        <w:t>29</w:t>
      </w:r>
      <w:r>
        <w:rPr>
          <w:vertAlign w:val="superscript"/>
        </w:rPr>
        <w:t>th</w:t>
      </w:r>
      <w:r w:rsidRPr="00A14D3F">
        <w:t>, 202</w:t>
      </w:r>
      <w:r>
        <w:t>5</w:t>
      </w:r>
    </w:p>
    <w:p w14:paraId="64A8ADD2" w14:textId="77777777" w:rsidR="00D33451" w:rsidRDefault="00D33451" w:rsidP="001112A7">
      <w:pPr>
        <w:pStyle w:val="CH"/>
      </w:pPr>
    </w:p>
    <w:p w14:paraId="002CDD31" w14:textId="388A1C75" w:rsidR="001112A7" w:rsidRPr="00CE7214" w:rsidRDefault="001112A7" w:rsidP="001112A7">
      <w:pPr>
        <w:pStyle w:val="CH"/>
        <w:rPr>
          <w:lang w:val="en-US"/>
        </w:rPr>
      </w:pPr>
      <w:r w:rsidRPr="0008103A">
        <w:t>Agenda item:</w:t>
      </w:r>
      <w:r>
        <w:tab/>
      </w:r>
      <w:r w:rsidR="00453C17" w:rsidRPr="00453C17">
        <w:rPr>
          <w:lang w:val="en-US"/>
        </w:rPr>
        <w:t>7.1.2.2.1</w:t>
      </w:r>
    </w:p>
    <w:p w14:paraId="542E5194" w14:textId="77777777" w:rsidR="001112A7" w:rsidRPr="00F614AC" w:rsidRDefault="001112A7" w:rsidP="001112A7">
      <w:pPr>
        <w:pStyle w:val="CH"/>
        <w:rPr>
          <w:b w:val="0"/>
        </w:rPr>
      </w:pPr>
      <w:r w:rsidRPr="00F614AC">
        <w:t>Source:</w:t>
      </w:r>
      <w:r w:rsidRPr="00F614AC">
        <w:tab/>
        <w:t>Apple</w:t>
      </w:r>
    </w:p>
    <w:p w14:paraId="0FFC7E20" w14:textId="77777777" w:rsidR="001112A7" w:rsidRPr="00F614AC" w:rsidRDefault="001112A7" w:rsidP="001112A7">
      <w:pPr>
        <w:pStyle w:val="CH"/>
      </w:pPr>
      <w:r w:rsidRPr="00F614AC">
        <w:t>Title:</w:t>
      </w:r>
      <w:r w:rsidRPr="00F614AC">
        <w:tab/>
      </w:r>
      <w:r w:rsidRPr="00940707">
        <w:rPr>
          <w:color w:val="262626"/>
          <w:szCs w:val="24"/>
          <w:lang w:eastAsia="en-GB"/>
        </w:rPr>
        <w:t>On Rel-19 power domain enhancement for FR1</w:t>
      </w:r>
    </w:p>
    <w:p w14:paraId="647F4DF1" w14:textId="371925D1" w:rsidR="001112A7" w:rsidRPr="008D25F1" w:rsidRDefault="001112A7" w:rsidP="001112A7">
      <w:pPr>
        <w:pStyle w:val="CH"/>
        <w:rPr>
          <w:lang w:val="en-US"/>
        </w:rPr>
      </w:pPr>
      <w:r w:rsidRPr="008D25F1">
        <w:rPr>
          <w:lang w:val="en-US"/>
        </w:rPr>
        <w:t>WI/SI:</w:t>
      </w:r>
      <w:r w:rsidRPr="008D25F1">
        <w:rPr>
          <w:lang w:val="en-US"/>
        </w:rPr>
        <w:tab/>
        <w:t>NR_ENDC_RF_Ph4-Core</w:t>
      </w:r>
    </w:p>
    <w:p w14:paraId="02DDF8DC" w14:textId="77777777" w:rsidR="001112A7" w:rsidRPr="00F614AC" w:rsidRDefault="001112A7" w:rsidP="001112A7">
      <w:pPr>
        <w:pStyle w:val="CH"/>
        <w:rPr>
          <w:b w:val="0"/>
        </w:rPr>
      </w:pPr>
      <w:r w:rsidRPr="00F614AC">
        <w:t>Release:</w:t>
      </w:r>
      <w:r w:rsidRPr="00F614AC">
        <w:tab/>
        <w:t>Rel-1</w:t>
      </w:r>
      <w:r>
        <w:t>9</w:t>
      </w:r>
    </w:p>
    <w:p w14:paraId="18A0CF64" w14:textId="77777777" w:rsidR="001112A7" w:rsidRDefault="001112A7" w:rsidP="001112A7">
      <w:pPr>
        <w:pStyle w:val="CH"/>
      </w:pPr>
      <w:r w:rsidRPr="00F614AC">
        <w:t>Document for:</w:t>
      </w:r>
      <w:r w:rsidRPr="00F614AC">
        <w:tab/>
      </w:r>
      <w:r>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12E4ED9" w14:textId="5E855F9F" w:rsidR="00C72CC0" w:rsidRDefault="00A17F57" w:rsidP="00A7707C">
      <w:pPr>
        <w:jc w:val="both"/>
      </w:pPr>
      <w:r>
        <w:rPr>
          <w:lang w:val="en-US"/>
        </w:rPr>
        <w:t xml:space="preserve">Power domain enhancement is a re-occurring topic </w:t>
      </w:r>
      <w:r w:rsidR="00FF7018">
        <w:rPr>
          <w:lang w:val="en-US"/>
        </w:rPr>
        <w:t>and enters the 4</w:t>
      </w:r>
      <w:r w:rsidR="00FF7018" w:rsidRPr="00FF7018">
        <w:rPr>
          <w:vertAlign w:val="superscript"/>
          <w:lang w:val="en-US"/>
        </w:rPr>
        <w:t>th</w:t>
      </w:r>
      <w:r w:rsidR="00FF7018">
        <w:rPr>
          <w:lang w:val="en-US"/>
        </w:rPr>
        <w:t xml:space="preserve"> phase </w:t>
      </w:r>
      <w:r w:rsidR="005966A3">
        <w:rPr>
          <w:lang w:val="en-US"/>
        </w:rPr>
        <w:t>when starting the</w:t>
      </w:r>
      <w:r w:rsidR="00E2157A">
        <w:t xml:space="preserve"> Rel-19</w:t>
      </w:r>
      <w:r w:rsidR="005966A3">
        <w:t xml:space="preserve"> work</w:t>
      </w:r>
      <w:r w:rsidR="00E2157A">
        <w:t xml:space="preserve">. </w:t>
      </w:r>
      <w:r w:rsidR="009350F0">
        <w:t>The</w:t>
      </w:r>
      <w:r w:rsidR="00203BDC">
        <w:t xml:space="preserve"> objectives are covered in the </w:t>
      </w:r>
      <w:r w:rsidR="009350F0">
        <w:t>WID [1]</w:t>
      </w:r>
      <w:r w:rsidR="00203BDC">
        <w:t>.</w:t>
      </w:r>
      <w:r w:rsidR="00501F9D">
        <w:t xml:space="preserve"> This contribution focuses on the </w:t>
      </w:r>
      <w:r w:rsidR="00274755">
        <w:t>high-level</w:t>
      </w:r>
      <w:r w:rsidR="00501F9D">
        <w:t xml:space="preserve"> aspects of </w:t>
      </w:r>
      <w:r w:rsidR="00521A4C">
        <w:t>MPR reduction</w:t>
      </w:r>
      <w:r w:rsidR="00501F9D">
        <w:t>.</w:t>
      </w:r>
      <w:r w:rsidR="00274755">
        <w:t xml:space="preserve"> The WID lists those goals as:</w:t>
      </w:r>
    </w:p>
    <w:p w14:paraId="30F8D7B3" w14:textId="4EE095CF" w:rsidR="00274755" w:rsidRDefault="00874EF7" w:rsidP="00274755">
      <w:pPr>
        <w:jc w:val="center"/>
      </w:pPr>
      <w:r w:rsidRPr="00874EF7">
        <w:rPr>
          <w:noProof/>
        </w:rPr>
        <w:drawing>
          <wp:inline distT="0" distB="0" distL="0" distR="0" wp14:anchorId="18E0024A" wp14:editId="50631708">
            <wp:extent cx="5994400" cy="2082800"/>
            <wp:effectExtent l="114300" t="88900" r="114300" b="127000"/>
            <wp:docPr id="1036293508"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293508" name="Picture 1" descr="A close-up of a document&#10;&#10;Description automatically generated"/>
                    <pic:cNvPicPr/>
                  </pic:nvPicPr>
                  <pic:blipFill>
                    <a:blip r:embed="rId9"/>
                    <a:stretch>
                      <a:fillRect/>
                    </a:stretch>
                  </pic:blipFill>
                  <pic:spPr>
                    <a:xfrm>
                      <a:off x="0" y="0"/>
                      <a:ext cx="6096320" cy="211821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A276B82" w14:textId="19604AB8" w:rsidR="0088464B" w:rsidRPr="00B07BF3" w:rsidRDefault="008E7986" w:rsidP="00B07BF3">
      <w:pPr>
        <w:pStyle w:val="Heading1"/>
      </w:pPr>
      <w:r>
        <w:t>2</w:t>
      </w:r>
      <w:r w:rsidR="006212AD">
        <w:t xml:space="preserve"> </w:t>
      </w:r>
      <w:r>
        <w:t xml:space="preserve"> </w:t>
      </w:r>
      <w:r w:rsidR="006212AD">
        <w:t>Discussion</w:t>
      </w:r>
    </w:p>
    <w:p w14:paraId="776A3BB9" w14:textId="6657DF96" w:rsidR="00B81C79" w:rsidRDefault="00B81C79" w:rsidP="003A7DAF">
      <w:pPr>
        <w:pStyle w:val="Heading5"/>
        <w:ind w:left="0" w:firstLine="0"/>
      </w:pPr>
      <w:r>
        <w:t xml:space="preserve">2.2 On </w:t>
      </w:r>
      <w:r w:rsidR="00722F4B">
        <w:t>extension for 5MHz channel</w:t>
      </w:r>
    </w:p>
    <w:p w14:paraId="53A30B8C" w14:textId="4D15DEE4" w:rsidR="00722F4B" w:rsidRDefault="00722F4B" w:rsidP="005A1D66">
      <w:pPr>
        <w:jc w:val="both"/>
      </w:pPr>
      <w:r>
        <w:t>RAN4 discussed various extension options and agreed that the baseline extension shall be 0.5 of CBW/N</w:t>
      </w:r>
      <w:r w:rsidRPr="00722F4B">
        <w:rPr>
          <w:vertAlign w:val="subscript"/>
        </w:rPr>
        <w:t>RB</w:t>
      </w:r>
      <w:r w:rsidRPr="00722F4B">
        <w:t>.</w:t>
      </w:r>
      <w:r>
        <w:t xml:space="preserve"> A second extension factor is 0.25. </w:t>
      </w:r>
      <w:r w:rsidR="00114254">
        <w:t>These factors result in most cases into extension aligning with regular channel sizes. E.g. 20MHz CBW extended by 10MHz (factor 0.5) and 5MHz (factor 0.25)</w:t>
      </w:r>
      <w:r w:rsidR="003F0AB3">
        <w:t>. However</w:t>
      </w:r>
      <w:r w:rsidR="005A1D66">
        <w:t>,</w:t>
      </w:r>
      <w:r w:rsidR="003F0AB3">
        <w:t xml:space="preserve"> there </w:t>
      </w:r>
      <w:r w:rsidR="005A1D66">
        <w:t>exists</w:t>
      </w:r>
      <w:r w:rsidR="003F0AB3">
        <w:t xml:space="preserve"> cases where irregular </w:t>
      </w:r>
      <w:r w:rsidR="005A1D66">
        <w:t>extension sizes will be present</w:t>
      </w:r>
      <w:r w:rsidR="003F0AB3">
        <w:t xml:space="preserve">. E.g. 15MHz resulting into 7.5MHz and 3.75MHz. </w:t>
      </w:r>
      <w:r w:rsidR="005A1D66">
        <w:t>RAN4 needs to explicitly specify the extension for each UE channel.</w:t>
      </w:r>
    </w:p>
    <w:p w14:paraId="443A4467" w14:textId="2ED2BBC1" w:rsidR="005A1D66" w:rsidRDefault="005A1D66" w:rsidP="005A1D66">
      <w:pPr>
        <w:jc w:val="both"/>
      </w:pPr>
      <w:r>
        <w:t>In case of 5MHz channel the 0.5 single</w:t>
      </w:r>
      <w:r w:rsidR="00CB6457">
        <w:t>-</w:t>
      </w:r>
      <w:r>
        <w:t>sided extension results into a</w:t>
      </w:r>
      <w:r w:rsidR="00626866">
        <w:t>n</w:t>
      </w:r>
      <w:r>
        <w:t xml:space="preserve"> extended bandwidth of 7.5MHz.</w:t>
      </w:r>
      <w:r w:rsidR="00626866">
        <w:t xml:space="preserve"> There is nothing inherently wrong with that extension, but it might be </w:t>
      </w:r>
      <w:r w:rsidR="00B972EE">
        <w:t>preferable</w:t>
      </w:r>
      <w:r w:rsidR="00626866">
        <w:t xml:space="preserve"> to limit the extension to 7MHz as it falls into the newly defined CBW</w:t>
      </w:r>
      <w:r w:rsidR="00CB6457">
        <w:t xml:space="preserve">. </w:t>
      </w:r>
      <w:r w:rsidR="00626866">
        <w:t>It would allow operators who have 7MHz spectrum available to deploy the extension if required.</w:t>
      </w:r>
      <w:r w:rsidR="00244BFC">
        <w:t xml:space="preserve"> </w:t>
      </w:r>
      <w:r w:rsidR="00244BFC">
        <w:t>Furthermore, there exist spectrum block sizes which are 7MHz wide and this tweak would allow to make use of the feature</w:t>
      </w:r>
      <w:r w:rsidR="00626866">
        <w:t xml:space="preserve"> Similar decision could be made for the 0.25 extension. Instead of specifying single sided extension of 1.25MHz it might be limited to 1MHz so that the extended channel results into 6MHz which is highly requested channel size for Rel-20.</w:t>
      </w:r>
    </w:p>
    <w:p w14:paraId="25F56C97" w14:textId="49C795E7" w:rsidR="00626866" w:rsidRDefault="00626866" w:rsidP="005A1D66">
      <w:pPr>
        <w:jc w:val="both"/>
      </w:pPr>
      <w:r>
        <w:t xml:space="preserve">While the single sided extension for 5MHz is limited to 2MHz </w:t>
      </w:r>
      <w:r w:rsidR="00E551BD">
        <w:t>and</w:t>
      </w:r>
      <w:r>
        <w:t xml:space="preserve"> 1MHz</w:t>
      </w:r>
      <w:r w:rsidR="00E551BD">
        <w:t>,</w:t>
      </w:r>
      <w:r>
        <w:t xml:space="preserve"> the double-sided extension should not be limited. </w:t>
      </w:r>
      <w:r w:rsidR="00502B99">
        <w:t>Which means that</w:t>
      </w:r>
      <w:r>
        <w:t xml:space="preserve"> a 5MHz channel </w:t>
      </w:r>
      <w:r w:rsidR="00E551BD">
        <w:t>would</w:t>
      </w:r>
      <w:r>
        <w:t xml:space="preserve"> still be extended to 10MHz which allows the conversion of all outer allocations into inner allocations.</w:t>
      </w:r>
    </w:p>
    <w:p w14:paraId="2F525640" w14:textId="77777777" w:rsidR="00EC1EEF" w:rsidRDefault="00EC1EEF" w:rsidP="005A1D66">
      <w:pPr>
        <w:jc w:val="both"/>
      </w:pPr>
    </w:p>
    <w:p w14:paraId="6140A11D" w14:textId="77777777" w:rsidR="00EC1EEF" w:rsidRDefault="00EC1EEF" w:rsidP="005A1D66">
      <w:pPr>
        <w:jc w:val="both"/>
      </w:pPr>
    </w:p>
    <w:p w14:paraId="078EBCD1" w14:textId="5543327E" w:rsidR="00EC1EEF" w:rsidRDefault="00EC1EEF" w:rsidP="00EC1EEF">
      <w:pPr>
        <w:jc w:val="center"/>
      </w:pPr>
      <w:r>
        <w:lastRenderedPageBreak/>
        <w:t>Table 1: Extension for 5MHz channel with 15kHz SCS</w:t>
      </w:r>
    </w:p>
    <w:tbl>
      <w:tblPr>
        <w:tblStyle w:val="TableGrid"/>
        <w:tblW w:w="8828" w:type="dxa"/>
        <w:tblInd w:w="499" w:type="dxa"/>
        <w:tblLook w:val="04A0" w:firstRow="1" w:lastRow="0" w:firstColumn="1" w:lastColumn="0" w:noHBand="0" w:noVBand="1"/>
      </w:tblPr>
      <w:tblGrid>
        <w:gridCol w:w="1275"/>
        <w:gridCol w:w="1589"/>
        <w:gridCol w:w="1926"/>
        <w:gridCol w:w="2054"/>
        <w:gridCol w:w="1984"/>
      </w:tblGrid>
      <w:tr w:rsidR="00EC1EEF" w14:paraId="59505F29" w14:textId="77777777" w:rsidTr="000A0076">
        <w:tc>
          <w:tcPr>
            <w:tcW w:w="1275" w:type="dxa"/>
            <w:shd w:val="clear" w:color="auto" w:fill="D9D9D9" w:themeFill="background1" w:themeFillShade="D9"/>
          </w:tcPr>
          <w:p w14:paraId="72BA59BF" w14:textId="14AE9913" w:rsidR="00EC1EEF" w:rsidRDefault="00EC1EEF" w:rsidP="00EC1EEF">
            <w:pPr>
              <w:spacing w:after="0"/>
              <w:jc w:val="both"/>
            </w:pPr>
            <w:r>
              <w:t>UE channel</w:t>
            </w:r>
          </w:p>
        </w:tc>
        <w:tc>
          <w:tcPr>
            <w:tcW w:w="1589" w:type="dxa"/>
            <w:shd w:val="clear" w:color="auto" w:fill="D9D9D9" w:themeFill="background1" w:themeFillShade="D9"/>
          </w:tcPr>
          <w:p w14:paraId="7211D75D" w14:textId="03210943" w:rsidR="00EC1EEF" w:rsidRDefault="00EC1EEF" w:rsidP="00EC1EEF">
            <w:pPr>
              <w:spacing w:after="0"/>
              <w:jc w:val="both"/>
            </w:pPr>
            <w:r>
              <w:t>Extension Type</w:t>
            </w:r>
          </w:p>
        </w:tc>
        <w:tc>
          <w:tcPr>
            <w:tcW w:w="1926" w:type="dxa"/>
            <w:shd w:val="clear" w:color="auto" w:fill="D9D9D9" w:themeFill="background1" w:themeFillShade="D9"/>
          </w:tcPr>
          <w:p w14:paraId="3180090A" w14:textId="3905F0E1" w:rsidR="00EC1EEF" w:rsidRDefault="00EC1EEF" w:rsidP="00EC1EEF">
            <w:pPr>
              <w:spacing w:after="0"/>
              <w:jc w:val="both"/>
            </w:pPr>
            <w:r>
              <w:t>Extension Size</w:t>
            </w:r>
          </w:p>
        </w:tc>
        <w:tc>
          <w:tcPr>
            <w:tcW w:w="2054" w:type="dxa"/>
            <w:shd w:val="clear" w:color="auto" w:fill="D9D9D9" w:themeFill="background1" w:themeFillShade="D9"/>
          </w:tcPr>
          <w:p w14:paraId="1A9DD804" w14:textId="77777777" w:rsidR="00B972EE" w:rsidRDefault="00EC1EEF" w:rsidP="00EC1EEF">
            <w:pPr>
              <w:spacing w:after="0"/>
              <w:jc w:val="both"/>
            </w:pPr>
            <w:r>
              <w:t>Extension</w:t>
            </w:r>
            <w:r w:rsidR="00E551BD">
              <w:t xml:space="preserve"> to each side</w:t>
            </w:r>
            <w:r>
              <w:t xml:space="preserve"> </w:t>
            </w:r>
          </w:p>
          <w:p w14:paraId="17E7A106" w14:textId="01A10DDF" w:rsidR="00EC1EEF" w:rsidRDefault="00EC1EEF" w:rsidP="00EC1EEF">
            <w:pPr>
              <w:spacing w:after="0"/>
              <w:jc w:val="both"/>
            </w:pPr>
            <w:r>
              <w:t>in MHz</w:t>
            </w:r>
          </w:p>
        </w:tc>
        <w:tc>
          <w:tcPr>
            <w:tcW w:w="1984" w:type="dxa"/>
            <w:shd w:val="clear" w:color="auto" w:fill="D9D9D9" w:themeFill="background1" w:themeFillShade="D9"/>
          </w:tcPr>
          <w:p w14:paraId="7F09F7C0" w14:textId="77777777" w:rsidR="00B972EE" w:rsidRDefault="00EC1EEF" w:rsidP="00EC1EEF">
            <w:pPr>
              <w:spacing w:after="0"/>
              <w:jc w:val="both"/>
            </w:pPr>
            <w:r>
              <w:t>Extension</w:t>
            </w:r>
            <w:r w:rsidR="00E551BD">
              <w:t xml:space="preserve"> to each side</w:t>
            </w:r>
            <w:r>
              <w:t xml:space="preserve"> </w:t>
            </w:r>
          </w:p>
          <w:p w14:paraId="2C19153C" w14:textId="3474C72E" w:rsidR="00EC1EEF" w:rsidRDefault="00EC1EEF" w:rsidP="00EC1EEF">
            <w:pPr>
              <w:spacing w:after="0"/>
              <w:jc w:val="both"/>
            </w:pPr>
            <w:r>
              <w:t>in RBs</w:t>
            </w:r>
          </w:p>
        </w:tc>
      </w:tr>
      <w:tr w:rsidR="00EC1EEF" w14:paraId="631F5BD9" w14:textId="77777777" w:rsidTr="000A0076">
        <w:tc>
          <w:tcPr>
            <w:tcW w:w="1275" w:type="dxa"/>
            <w:vMerge w:val="restart"/>
            <w:vAlign w:val="center"/>
          </w:tcPr>
          <w:p w14:paraId="7B5F82DB" w14:textId="01472263" w:rsidR="00EC1EEF" w:rsidRDefault="00EC1EEF" w:rsidP="00EC1EEF">
            <w:pPr>
              <w:spacing w:after="0"/>
              <w:jc w:val="center"/>
            </w:pPr>
            <w:r>
              <w:t>5MHz</w:t>
            </w:r>
          </w:p>
        </w:tc>
        <w:tc>
          <w:tcPr>
            <w:tcW w:w="1589" w:type="dxa"/>
            <w:vAlign w:val="center"/>
          </w:tcPr>
          <w:p w14:paraId="1A2BF908" w14:textId="332834B0" w:rsidR="00EC1EEF" w:rsidRDefault="00EC1EEF" w:rsidP="00EC1EEF">
            <w:pPr>
              <w:spacing w:after="0"/>
              <w:jc w:val="center"/>
            </w:pPr>
            <w:r>
              <w:t>Single-Sided</w:t>
            </w:r>
          </w:p>
        </w:tc>
        <w:tc>
          <w:tcPr>
            <w:tcW w:w="1926" w:type="dxa"/>
            <w:vAlign w:val="center"/>
          </w:tcPr>
          <w:p w14:paraId="23FD69EC" w14:textId="4E2F1164" w:rsidR="00EC1EEF" w:rsidRDefault="00EC1EEF" w:rsidP="00EC1EEF">
            <w:pPr>
              <w:spacing w:after="0"/>
              <w:jc w:val="center"/>
            </w:pPr>
            <w:r>
              <w:t>Size 1</w:t>
            </w:r>
          </w:p>
        </w:tc>
        <w:tc>
          <w:tcPr>
            <w:tcW w:w="2054" w:type="dxa"/>
            <w:vAlign w:val="center"/>
          </w:tcPr>
          <w:p w14:paraId="4BD5372F" w14:textId="0771BD77" w:rsidR="00EC1EEF" w:rsidRDefault="00EC1EEF" w:rsidP="00EC1EEF">
            <w:pPr>
              <w:spacing w:after="0"/>
              <w:jc w:val="center"/>
            </w:pPr>
            <w:r>
              <w:t>2</w:t>
            </w:r>
          </w:p>
        </w:tc>
        <w:tc>
          <w:tcPr>
            <w:tcW w:w="1984" w:type="dxa"/>
            <w:vAlign w:val="center"/>
          </w:tcPr>
          <w:p w14:paraId="4DB2E59B" w14:textId="536FFD5C" w:rsidR="00EC1EEF" w:rsidRDefault="00EC1EEF" w:rsidP="00EC1EEF">
            <w:pPr>
              <w:spacing w:after="0"/>
              <w:jc w:val="center"/>
            </w:pPr>
            <w:r>
              <w:t>12</w:t>
            </w:r>
          </w:p>
        </w:tc>
      </w:tr>
      <w:tr w:rsidR="00EC1EEF" w14:paraId="245D17C2" w14:textId="77777777" w:rsidTr="000A0076">
        <w:tc>
          <w:tcPr>
            <w:tcW w:w="1275" w:type="dxa"/>
            <w:vMerge/>
            <w:vAlign w:val="center"/>
          </w:tcPr>
          <w:p w14:paraId="45138D4A" w14:textId="77777777" w:rsidR="00EC1EEF" w:rsidRDefault="00EC1EEF" w:rsidP="00EC1EEF">
            <w:pPr>
              <w:spacing w:after="0"/>
              <w:jc w:val="center"/>
            </w:pPr>
          </w:p>
        </w:tc>
        <w:tc>
          <w:tcPr>
            <w:tcW w:w="1589" w:type="dxa"/>
            <w:vAlign w:val="center"/>
          </w:tcPr>
          <w:p w14:paraId="1A203A95" w14:textId="4184AFA5" w:rsidR="00EC1EEF" w:rsidRDefault="00EC1EEF" w:rsidP="00EC1EEF">
            <w:pPr>
              <w:spacing w:after="0"/>
              <w:jc w:val="center"/>
            </w:pPr>
            <w:r>
              <w:t>Single-Sided</w:t>
            </w:r>
          </w:p>
        </w:tc>
        <w:tc>
          <w:tcPr>
            <w:tcW w:w="1926" w:type="dxa"/>
            <w:vAlign w:val="center"/>
          </w:tcPr>
          <w:p w14:paraId="617432C7" w14:textId="0AD21263" w:rsidR="00EC1EEF" w:rsidRDefault="00EC1EEF" w:rsidP="00EC1EEF">
            <w:pPr>
              <w:spacing w:after="0"/>
              <w:jc w:val="center"/>
            </w:pPr>
            <w:r>
              <w:t>Size 2</w:t>
            </w:r>
          </w:p>
        </w:tc>
        <w:tc>
          <w:tcPr>
            <w:tcW w:w="2054" w:type="dxa"/>
            <w:vAlign w:val="center"/>
          </w:tcPr>
          <w:p w14:paraId="41CCF587" w14:textId="317E2F3C" w:rsidR="00EC1EEF" w:rsidRDefault="00EC1EEF" w:rsidP="00EC1EEF">
            <w:pPr>
              <w:spacing w:after="0"/>
              <w:jc w:val="center"/>
            </w:pPr>
            <w:r>
              <w:t>1</w:t>
            </w:r>
          </w:p>
        </w:tc>
        <w:tc>
          <w:tcPr>
            <w:tcW w:w="1984" w:type="dxa"/>
            <w:vAlign w:val="center"/>
          </w:tcPr>
          <w:p w14:paraId="6EF411D5" w14:textId="4A3CA55A" w:rsidR="00EC1EEF" w:rsidRDefault="00EC1EEF" w:rsidP="00EC1EEF">
            <w:pPr>
              <w:spacing w:after="0"/>
              <w:jc w:val="center"/>
            </w:pPr>
            <w:r>
              <w:t>6</w:t>
            </w:r>
          </w:p>
        </w:tc>
      </w:tr>
      <w:tr w:rsidR="00EC1EEF" w14:paraId="14683D1A" w14:textId="77777777" w:rsidTr="000A0076">
        <w:tc>
          <w:tcPr>
            <w:tcW w:w="1275" w:type="dxa"/>
            <w:vMerge/>
            <w:vAlign w:val="center"/>
          </w:tcPr>
          <w:p w14:paraId="22653F3A" w14:textId="77777777" w:rsidR="00EC1EEF" w:rsidRDefault="00EC1EEF" w:rsidP="00EC1EEF">
            <w:pPr>
              <w:spacing w:after="0"/>
              <w:jc w:val="center"/>
            </w:pPr>
          </w:p>
        </w:tc>
        <w:tc>
          <w:tcPr>
            <w:tcW w:w="1589" w:type="dxa"/>
            <w:vAlign w:val="center"/>
          </w:tcPr>
          <w:p w14:paraId="21374E11" w14:textId="78289A80" w:rsidR="00EC1EEF" w:rsidRDefault="00EC1EEF" w:rsidP="00EC1EEF">
            <w:pPr>
              <w:spacing w:after="0"/>
              <w:jc w:val="center"/>
            </w:pPr>
            <w:r>
              <w:t>Double-Sided</w:t>
            </w:r>
          </w:p>
        </w:tc>
        <w:tc>
          <w:tcPr>
            <w:tcW w:w="1926" w:type="dxa"/>
            <w:vAlign w:val="center"/>
          </w:tcPr>
          <w:p w14:paraId="61BAAC47" w14:textId="74424AEE" w:rsidR="00EC1EEF" w:rsidRDefault="00EC1EEF" w:rsidP="00EC1EEF">
            <w:pPr>
              <w:spacing w:after="0"/>
              <w:jc w:val="center"/>
            </w:pPr>
            <w:r>
              <w:t>Size 1</w:t>
            </w:r>
          </w:p>
        </w:tc>
        <w:tc>
          <w:tcPr>
            <w:tcW w:w="2054" w:type="dxa"/>
            <w:vAlign w:val="center"/>
          </w:tcPr>
          <w:p w14:paraId="51701248" w14:textId="50E6E2B1" w:rsidR="00EC1EEF" w:rsidRDefault="00EC1EEF" w:rsidP="00EC1EEF">
            <w:pPr>
              <w:spacing w:after="0"/>
              <w:jc w:val="center"/>
            </w:pPr>
            <w:r>
              <w:t>2.5</w:t>
            </w:r>
          </w:p>
        </w:tc>
        <w:tc>
          <w:tcPr>
            <w:tcW w:w="1984" w:type="dxa"/>
            <w:vAlign w:val="center"/>
          </w:tcPr>
          <w:p w14:paraId="537A42F9" w14:textId="0BFCF90C" w:rsidR="00EC1EEF" w:rsidRDefault="00EC1EEF" w:rsidP="00EC1EEF">
            <w:pPr>
              <w:spacing w:after="0"/>
              <w:jc w:val="center"/>
            </w:pPr>
            <w:r>
              <w:t>15</w:t>
            </w:r>
          </w:p>
        </w:tc>
      </w:tr>
      <w:tr w:rsidR="00EC1EEF" w14:paraId="39D8AC6A" w14:textId="77777777" w:rsidTr="000A0076">
        <w:tc>
          <w:tcPr>
            <w:tcW w:w="1275" w:type="dxa"/>
            <w:vMerge/>
            <w:vAlign w:val="center"/>
          </w:tcPr>
          <w:p w14:paraId="6943F14E" w14:textId="77777777" w:rsidR="00EC1EEF" w:rsidRDefault="00EC1EEF" w:rsidP="00EC1EEF">
            <w:pPr>
              <w:spacing w:after="0"/>
              <w:jc w:val="center"/>
            </w:pPr>
          </w:p>
        </w:tc>
        <w:tc>
          <w:tcPr>
            <w:tcW w:w="1589" w:type="dxa"/>
            <w:vAlign w:val="center"/>
          </w:tcPr>
          <w:p w14:paraId="6E8D36A4" w14:textId="062FDA4E" w:rsidR="00EC1EEF" w:rsidRDefault="00EC1EEF" w:rsidP="00EC1EEF">
            <w:pPr>
              <w:spacing w:after="0"/>
              <w:jc w:val="center"/>
            </w:pPr>
            <w:r>
              <w:t>Double-Sided</w:t>
            </w:r>
          </w:p>
        </w:tc>
        <w:tc>
          <w:tcPr>
            <w:tcW w:w="1926" w:type="dxa"/>
            <w:vAlign w:val="center"/>
          </w:tcPr>
          <w:p w14:paraId="3A7634B4" w14:textId="2F4BBBE3" w:rsidR="00EC1EEF" w:rsidRDefault="00EC1EEF" w:rsidP="00EC1EEF">
            <w:pPr>
              <w:spacing w:after="0"/>
              <w:jc w:val="center"/>
            </w:pPr>
            <w:r>
              <w:t>Size 2</w:t>
            </w:r>
          </w:p>
        </w:tc>
        <w:tc>
          <w:tcPr>
            <w:tcW w:w="2054" w:type="dxa"/>
            <w:vAlign w:val="center"/>
          </w:tcPr>
          <w:p w14:paraId="63D0B248" w14:textId="44938E98" w:rsidR="00EC1EEF" w:rsidRDefault="00EC1EEF" w:rsidP="00EC1EEF">
            <w:pPr>
              <w:spacing w:after="0"/>
              <w:jc w:val="center"/>
            </w:pPr>
            <w:r>
              <w:t>1.25</w:t>
            </w:r>
          </w:p>
        </w:tc>
        <w:tc>
          <w:tcPr>
            <w:tcW w:w="1984" w:type="dxa"/>
            <w:vAlign w:val="center"/>
          </w:tcPr>
          <w:p w14:paraId="58546CA4" w14:textId="655773D6" w:rsidR="00EC1EEF" w:rsidRDefault="00EC1EEF" w:rsidP="00EC1EEF">
            <w:pPr>
              <w:spacing w:after="0"/>
              <w:jc w:val="center"/>
            </w:pPr>
            <w:r>
              <w:t>8</w:t>
            </w:r>
          </w:p>
        </w:tc>
      </w:tr>
    </w:tbl>
    <w:p w14:paraId="20942789" w14:textId="77777777" w:rsidR="00626866" w:rsidRDefault="00626866" w:rsidP="005A1D66">
      <w:pPr>
        <w:jc w:val="both"/>
      </w:pPr>
    </w:p>
    <w:p w14:paraId="0A080C98" w14:textId="7568FC89" w:rsidR="00B972EE" w:rsidRDefault="00B972EE" w:rsidP="00B972EE">
      <w:pPr>
        <w:jc w:val="both"/>
        <w:rPr>
          <w:i/>
          <w:iCs/>
        </w:rPr>
      </w:pPr>
      <w:r w:rsidRPr="00B972EE">
        <w:rPr>
          <w:b/>
          <w:bCs/>
        </w:rPr>
        <w:t>Observation:</w:t>
      </w:r>
      <w:r>
        <w:t xml:space="preserve"> </w:t>
      </w:r>
      <w:r w:rsidRPr="00B972EE">
        <w:rPr>
          <w:i/>
          <w:iCs/>
        </w:rPr>
        <w:t>In case of 5MHz channel the 0.5 single sided extension results into an extended bandwidth of 7.5MHz. There is nothing inherently wrong with that extension, but it might be preferable to limit the extension to 7MHz as it falls into the newly defined CBW. It would allow operators who have 7MHz spectrum available to deploy the extension if required.</w:t>
      </w:r>
      <w:r w:rsidR="00244BFC">
        <w:rPr>
          <w:i/>
          <w:iCs/>
        </w:rPr>
        <w:t xml:space="preserve"> </w:t>
      </w:r>
      <w:r w:rsidR="00244BFC">
        <w:t>Furthermore, there exist spectrum block sizes which are 7MHz wide and this tweak would allow to make use of the feature</w:t>
      </w:r>
      <w:r w:rsidR="00C01D8A">
        <w:t>.</w:t>
      </w:r>
      <w:r w:rsidRPr="00B972EE">
        <w:rPr>
          <w:i/>
          <w:iCs/>
        </w:rPr>
        <w:t xml:space="preserve"> Similar decision could be made for the 0.25 extension. Instead of specifying single sided extension of 1.25MHz it might be limited to 1MHz so that the extended channel results into 6MHz which is highly requested channel size for Rel-20.</w:t>
      </w:r>
    </w:p>
    <w:p w14:paraId="56DD1F3C" w14:textId="1885E648" w:rsidR="00B972EE" w:rsidRPr="00B972EE" w:rsidRDefault="00B972EE" w:rsidP="00B972EE">
      <w:pPr>
        <w:jc w:val="both"/>
        <w:rPr>
          <w:b/>
          <w:bCs/>
        </w:rPr>
      </w:pPr>
      <w:r w:rsidRPr="00B972EE">
        <w:rPr>
          <w:b/>
          <w:bCs/>
        </w:rPr>
        <w:t>Proposal</w:t>
      </w:r>
      <w:r w:rsidR="00A312A5">
        <w:rPr>
          <w:b/>
          <w:bCs/>
        </w:rPr>
        <w:t xml:space="preserve"> 1</w:t>
      </w:r>
      <w:r w:rsidRPr="00B972EE">
        <w:rPr>
          <w:b/>
          <w:bCs/>
        </w:rPr>
        <w:t>:</w:t>
      </w:r>
      <w:r w:rsidRPr="00B972EE">
        <w:rPr>
          <w:i/>
          <w:iCs/>
        </w:rPr>
        <w:t xml:space="preserve"> For 5MHz channel bandwidth the extension should be differentiated between single-sided and double-sided</w:t>
      </w:r>
      <w:r>
        <w:rPr>
          <w:i/>
          <w:iCs/>
        </w:rPr>
        <w:t>. This would allow to define single-sided extension resulting into 6MHz and 7MHz.</w:t>
      </w:r>
    </w:p>
    <w:p w14:paraId="10A2E884" w14:textId="71D7DE2F" w:rsidR="00B972EE" w:rsidRPr="00722F4B" w:rsidRDefault="00B972EE" w:rsidP="005A1D66">
      <w:pPr>
        <w:jc w:val="both"/>
      </w:pPr>
    </w:p>
    <w:p w14:paraId="4D0B25A1" w14:textId="1951F70B" w:rsidR="00763D2F" w:rsidRDefault="00763D2F" w:rsidP="00763D2F">
      <w:pPr>
        <w:pStyle w:val="Heading5"/>
      </w:pPr>
      <w:r>
        <w:t>2.3 On signalling</w:t>
      </w:r>
    </w:p>
    <w:p w14:paraId="6EB562FC" w14:textId="6A55816B" w:rsidR="00372FF2" w:rsidRDefault="00372FF2" w:rsidP="000D59BE">
      <w:pPr>
        <w:jc w:val="both"/>
      </w:pPr>
      <w:r w:rsidRPr="00372FF2">
        <w:t>The table outlines</w:t>
      </w:r>
      <w:r>
        <w:t xml:space="preserve"> the initial approach on</w:t>
      </w:r>
      <w:r w:rsidRPr="00372FF2">
        <w:t xml:space="preserve"> the </w:t>
      </w:r>
      <w:r>
        <w:t>signalling</w:t>
      </w:r>
      <w:r w:rsidRPr="00372FF2">
        <w:t xml:space="preserve"> </w:t>
      </w:r>
      <w:r>
        <w:t>for</w:t>
      </w:r>
      <w:r w:rsidRPr="00372FF2">
        <w:t xml:space="preserve"> CBW extension-based MPR reduction in</w:t>
      </w:r>
      <w:r>
        <w:t xml:space="preserve">. </w:t>
      </w:r>
      <w:r w:rsidRPr="00372FF2">
        <w:t xml:space="preserve">It includes </w:t>
      </w:r>
      <w:r w:rsidR="005A1D66">
        <w:t>five</w:t>
      </w:r>
      <w:r w:rsidRPr="00372FF2">
        <w:t xml:space="preserve"> entries</w:t>
      </w:r>
      <w:r>
        <w:t xml:space="preserve">. </w:t>
      </w:r>
    </w:p>
    <w:p w14:paraId="74FAD26A" w14:textId="77777777" w:rsidR="00372FF2" w:rsidRDefault="00372FF2" w:rsidP="000D59BE">
      <w:pPr>
        <w:jc w:val="both"/>
      </w:pPr>
      <w:r>
        <w:t xml:space="preserve">The first one </w:t>
      </w:r>
      <w:r w:rsidRPr="00372FF2">
        <w:t>indicates support for a fixed CBW extension of 0.5 CBW/NRB, which can be either symmetric or asymmetric. It is applicable only to FR1 and is optional with capability signalling. If not supported by the UE, the feature cannot be supported. The type is per band, and there is no need for FDD/TDD differentiation.</w:t>
      </w:r>
    </w:p>
    <w:p w14:paraId="01FA14CA" w14:textId="7AFFF8AA" w:rsidR="00372FF2" w:rsidRPr="00372FF2" w:rsidRDefault="00372FF2" w:rsidP="000D59BE">
      <w:pPr>
        <w:jc w:val="both"/>
      </w:pPr>
      <w:r>
        <w:t xml:space="preserve">The second one </w:t>
      </w:r>
      <w:r w:rsidRPr="00372FF2">
        <w:t>indicates support for a flexible CBW extension based on a limited number of fixed values, which can also be symmetric or asymmetric. The specific values for the CBW extension size are to be determined</w:t>
      </w:r>
      <w:r w:rsidR="00DA4CD3">
        <w:t xml:space="preserve">. </w:t>
      </w:r>
      <w:r w:rsidRPr="00372FF2">
        <w:t>Like the previous entry, it is applicable only to FR1, optional with capability signalling, and the type is per band. There is no need for FDD/TDD differentiation.</w:t>
      </w:r>
    </w:p>
    <w:p w14:paraId="3FAF6A47" w14:textId="77777777" w:rsidR="00763D2F" w:rsidRPr="00453077" w:rsidRDefault="00763D2F" w:rsidP="00763D2F"/>
    <w:p w14:paraId="478D08FF" w14:textId="77777777" w:rsidR="00763D2F" w:rsidRDefault="00763D2F" w:rsidP="00763D2F"/>
    <w:p w14:paraId="74AFE568" w14:textId="77777777" w:rsidR="00D718ED" w:rsidRDefault="00D718ED" w:rsidP="00763D2F"/>
    <w:p w14:paraId="754528BD" w14:textId="77777777" w:rsidR="000A0076" w:rsidRDefault="000A0076" w:rsidP="00763D2F"/>
    <w:p w14:paraId="1592DDA3" w14:textId="77777777" w:rsidR="000A0076" w:rsidRDefault="000A0076" w:rsidP="00763D2F"/>
    <w:p w14:paraId="3DD91A93" w14:textId="77777777" w:rsidR="000A0076" w:rsidRDefault="000A0076" w:rsidP="00763D2F"/>
    <w:p w14:paraId="5E70E9FE" w14:textId="77777777" w:rsidR="000A0076" w:rsidRDefault="000A0076" w:rsidP="00763D2F"/>
    <w:p w14:paraId="66344EFB" w14:textId="77777777" w:rsidR="000A0076" w:rsidRDefault="000A0076" w:rsidP="00763D2F"/>
    <w:p w14:paraId="09B12579" w14:textId="77777777" w:rsidR="000A0076" w:rsidRDefault="000A0076" w:rsidP="00763D2F"/>
    <w:p w14:paraId="0B697E90" w14:textId="77777777" w:rsidR="000A0076" w:rsidRDefault="000A0076" w:rsidP="00763D2F"/>
    <w:p w14:paraId="6A332B53" w14:textId="77777777" w:rsidR="000A0076" w:rsidRDefault="000A0076" w:rsidP="00763D2F"/>
    <w:p w14:paraId="74E74A21" w14:textId="77777777" w:rsidR="000A0076" w:rsidRDefault="000A0076" w:rsidP="00763D2F"/>
    <w:p w14:paraId="593C4A84" w14:textId="77777777" w:rsidR="000A0076" w:rsidRDefault="000A0076" w:rsidP="00763D2F"/>
    <w:p w14:paraId="1839E508" w14:textId="77777777" w:rsidR="000A0076" w:rsidRDefault="000A0076" w:rsidP="00763D2F"/>
    <w:p w14:paraId="1F028E91" w14:textId="77777777" w:rsidR="000A0076" w:rsidRDefault="000A0076" w:rsidP="00763D2F"/>
    <w:p w14:paraId="083A7F29" w14:textId="54082948" w:rsidR="00D718ED" w:rsidRDefault="00D718ED" w:rsidP="00D718ED">
      <w:pPr>
        <w:jc w:val="center"/>
      </w:pPr>
      <w:r>
        <w:lastRenderedPageBreak/>
        <w:t xml:space="preserve">Table </w:t>
      </w:r>
      <w:r w:rsidR="000A0076">
        <w:t>2</w:t>
      </w:r>
      <w:r>
        <w:t xml:space="preserve">: Signalling for </w:t>
      </w:r>
      <w:r w:rsidRPr="00372FF2">
        <w:t>CBW extension-based MPR reduction</w:t>
      </w:r>
    </w:p>
    <w:tbl>
      <w:tblPr>
        <w:tblW w:w="11486" w:type="dxa"/>
        <w:tblInd w:w="-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506"/>
        <w:gridCol w:w="802"/>
        <w:gridCol w:w="1296"/>
        <w:gridCol w:w="796"/>
        <w:gridCol w:w="708"/>
        <w:gridCol w:w="723"/>
        <w:gridCol w:w="874"/>
        <w:gridCol w:w="784"/>
        <w:gridCol w:w="886"/>
        <w:gridCol w:w="802"/>
        <w:gridCol w:w="567"/>
        <w:gridCol w:w="874"/>
        <w:gridCol w:w="745"/>
      </w:tblGrid>
      <w:tr w:rsidR="00763D2F" w:rsidRPr="00F218D2" w14:paraId="29A2DA9B" w14:textId="77777777" w:rsidTr="00724753">
        <w:trPr>
          <w:trHeight w:val="20"/>
        </w:trPr>
        <w:tc>
          <w:tcPr>
            <w:tcW w:w="1123" w:type="dxa"/>
          </w:tcPr>
          <w:p w14:paraId="089F0B5D"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Features</w:t>
            </w:r>
          </w:p>
        </w:tc>
        <w:tc>
          <w:tcPr>
            <w:tcW w:w="506" w:type="dxa"/>
          </w:tcPr>
          <w:p w14:paraId="58839167"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Index</w:t>
            </w:r>
          </w:p>
        </w:tc>
        <w:tc>
          <w:tcPr>
            <w:tcW w:w="802" w:type="dxa"/>
          </w:tcPr>
          <w:p w14:paraId="4A6DF31C"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Feature group</w:t>
            </w:r>
          </w:p>
        </w:tc>
        <w:tc>
          <w:tcPr>
            <w:tcW w:w="1296" w:type="dxa"/>
          </w:tcPr>
          <w:p w14:paraId="77145914"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Components</w:t>
            </w:r>
          </w:p>
          <w:p w14:paraId="62AA4149"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p>
        </w:tc>
        <w:tc>
          <w:tcPr>
            <w:tcW w:w="796" w:type="dxa"/>
          </w:tcPr>
          <w:p w14:paraId="38977273"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Prerequisite feature groups</w:t>
            </w:r>
          </w:p>
        </w:tc>
        <w:tc>
          <w:tcPr>
            <w:tcW w:w="708" w:type="dxa"/>
          </w:tcPr>
          <w:p w14:paraId="250E72F5"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 xml:space="preserve">Need for the </w:t>
            </w:r>
            <w:proofErr w:type="spellStart"/>
            <w:r w:rsidRPr="00FC70D8">
              <w:rPr>
                <w:rFonts w:ascii="Arial" w:hAnsi="Arial" w:cs="Arial"/>
                <w:b/>
                <w:sz w:val="10"/>
                <w:szCs w:val="10"/>
              </w:rPr>
              <w:t>gNB</w:t>
            </w:r>
            <w:proofErr w:type="spellEnd"/>
            <w:r w:rsidRPr="00FC70D8">
              <w:rPr>
                <w:rFonts w:ascii="Arial" w:hAnsi="Arial" w:cs="Arial"/>
                <w:b/>
                <w:sz w:val="10"/>
                <w:szCs w:val="10"/>
              </w:rPr>
              <w:t xml:space="preserve"> to know if the feature is supported</w:t>
            </w:r>
          </w:p>
        </w:tc>
        <w:tc>
          <w:tcPr>
            <w:tcW w:w="723" w:type="dxa"/>
          </w:tcPr>
          <w:p w14:paraId="365CD7ED"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Gulim" w:hAnsi="Arial" w:cs="Arial"/>
                <w:b/>
                <w:sz w:val="10"/>
                <w:szCs w:val="10"/>
              </w:rPr>
              <w:t xml:space="preserve">Applicable to </w:t>
            </w:r>
            <w:r w:rsidRPr="00FC70D8">
              <w:rPr>
                <w:rFonts w:ascii="Arial" w:hAnsi="Arial" w:cs="Arial"/>
                <w:b/>
                <w:sz w:val="10"/>
                <w:szCs w:val="10"/>
              </w:rPr>
              <w:t>the capability signalling exchange between UEs (V2X WI only)”.</w:t>
            </w:r>
          </w:p>
        </w:tc>
        <w:tc>
          <w:tcPr>
            <w:tcW w:w="874" w:type="dxa"/>
          </w:tcPr>
          <w:p w14:paraId="22D47E69" w14:textId="77777777" w:rsidR="00763D2F" w:rsidRPr="00FC70D8" w:rsidRDefault="00763D2F" w:rsidP="00724753">
            <w:pPr>
              <w:keepNext/>
              <w:keepLines/>
              <w:rPr>
                <w:rFonts w:ascii="Arial" w:hAnsi="Arial" w:cs="Arial"/>
                <w:b/>
                <w:sz w:val="10"/>
                <w:szCs w:val="10"/>
              </w:rPr>
            </w:pPr>
            <w:r w:rsidRPr="00FC70D8">
              <w:rPr>
                <w:rFonts w:ascii="Arial" w:hAnsi="Arial" w:cs="Arial"/>
                <w:b/>
                <w:sz w:val="10"/>
                <w:szCs w:val="10"/>
              </w:rPr>
              <w:t>Consequence if the feature is not supported by the UE</w:t>
            </w:r>
          </w:p>
        </w:tc>
        <w:tc>
          <w:tcPr>
            <w:tcW w:w="784" w:type="dxa"/>
          </w:tcPr>
          <w:p w14:paraId="4D02376B" w14:textId="77777777" w:rsidR="00763D2F" w:rsidRPr="00FC70D8" w:rsidRDefault="00763D2F" w:rsidP="00724753">
            <w:pPr>
              <w:keepNext/>
              <w:keepLines/>
              <w:rPr>
                <w:rFonts w:ascii="Arial" w:hAnsi="Arial" w:cs="Arial"/>
                <w:b/>
                <w:sz w:val="10"/>
                <w:szCs w:val="10"/>
              </w:rPr>
            </w:pPr>
            <w:r w:rsidRPr="00FC70D8">
              <w:rPr>
                <w:rFonts w:ascii="Arial" w:hAnsi="Arial" w:cs="Arial"/>
                <w:b/>
                <w:sz w:val="10"/>
                <w:szCs w:val="10"/>
              </w:rPr>
              <w:t>Type</w:t>
            </w:r>
          </w:p>
          <w:p w14:paraId="6914E354" w14:textId="77777777" w:rsidR="00763D2F" w:rsidRPr="00FC70D8" w:rsidRDefault="00763D2F" w:rsidP="00724753">
            <w:pPr>
              <w:keepNext/>
              <w:keepLines/>
              <w:rPr>
                <w:rFonts w:ascii="Arial" w:hAnsi="Arial" w:cs="Arial"/>
                <w:b/>
                <w:sz w:val="10"/>
                <w:szCs w:val="10"/>
              </w:rPr>
            </w:pPr>
            <w:r w:rsidRPr="00FC70D8">
              <w:rPr>
                <w:rFonts w:ascii="Arial" w:hAnsi="Arial" w:cs="Arial"/>
                <w:b/>
                <w:sz w:val="10"/>
                <w:szCs w:val="10"/>
              </w:rPr>
              <w:t>(the ‘type’ definition from UE features should be based on the granularity of 1) Per UE or 2) Per Band or 3) Per BC or 4) Per FS or 5) Per FSPC)</w:t>
            </w:r>
          </w:p>
        </w:tc>
        <w:tc>
          <w:tcPr>
            <w:tcW w:w="886" w:type="dxa"/>
          </w:tcPr>
          <w:p w14:paraId="6161F716"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Need of FDD/TDD differentiation</w:t>
            </w:r>
          </w:p>
        </w:tc>
        <w:tc>
          <w:tcPr>
            <w:tcW w:w="802" w:type="dxa"/>
          </w:tcPr>
          <w:p w14:paraId="06510493"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Need of FR1/FR2 differentiation</w:t>
            </w:r>
          </w:p>
        </w:tc>
        <w:tc>
          <w:tcPr>
            <w:tcW w:w="567" w:type="dxa"/>
          </w:tcPr>
          <w:p w14:paraId="6D293F5C"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Capability interpretation for mixture of FDD/TDD and/or FR1/FR2</w:t>
            </w:r>
          </w:p>
        </w:tc>
        <w:tc>
          <w:tcPr>
            <w:tcW w:w="874" w:type="dxa"/>
          </w:tcPr>
          <w:p w14:paraId="6270A2F5"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Note</w:t>
            </w:r>
          </w:p>
        </w:tc>
        <w:tc>
          <w:tcPr>
            <w:tcW w:w="745" w:type="dxa"/>
          </w:tcPr>
          <w:p w14:paraId="1628787C"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Mandatory/Optional</w:t>
            </w:r>
          </w:p>
        </w:tc>
      </w:tr>
      <w:tr w:rsidR="00763D2F" w:rsidRPr="00F218D2" w14:paraId="6CDC0D8F" w14:textId="77777777" w:rsidTr="00724753">
        <w:trPr>
          <w:trHeight w:val="20"/>
        </w:trPr>
        <w:tc>
          <w:tcPr>
            <w:tcW w:w="1123" w:type="dxa"/>
          </w:tcPr>
          <w:p w14:paraId="67A93091"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hint="eastAsia"/>
                <w:sz w:val="10"/>
                <w:szCs w:val="10"/>
              </w:rPr>
              <w:t>46. NR_ENDC_RF_Ph4</w:t>
            </w:r>
          </w:p>
        </w:tc>
        <w:tc>
          <w:tcPr>
            <w:tcW w:w="506" w:type="dxa"/>
          </w:tcPr>
          <w:p w14:paraId="60B916B9"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hint="eastAsia"/>
                <w:sz w:val="10"/>
                <w:szCs w:val="10"/>
              </w:rPr>
              <w:t>46-1</w:t>
            </w:r>
          </w:p>
        </w:tc>
        <w:tc>
          <w:tcPr>
            <w:tcW w:w="802" w:type="dxa"/>
          </w:tcPr>
          <w:p w14:paraId="37A98E33"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sz w:val="10"/>
                <w:szCs w:val="10"/>
              </w:rPr>
              <w:t>Support of CBW extension based MPR reduction</w:t>
            </w:r>
          </w:p>
        </w:tc>
        <w:tc>
          <w:tcPr>
            <w:tcW w:w="1296" w:type="dxa"/>
          </w:tcPr>
          <w:p w14:paraId="7EC10FF1" w14:textId="77777777" w:rsidR="00763D2F" w:rsidRPr="00FC70D8" w:rsidRDefault="00763D2F" w:rsidP="00724753">
            <w:pPr>
              <w:snapToGrid w:val="0"/>
              <w:spacing w:afterLines="50" w:after="120"/>
              <w:contextualSpacing/>
              <w:jc w:val="both"/>
              <w:rPr>
                <w:rFonts w:ascii="Arial" w:eastAsiaTheme="minorEastAsia" w:hAnsi="Arial" w:cs="Arial"/>
                <w:sz w:val="10"/>
                <w:szCs w:val="10"/>
              </w:rPr>
            </w:pPr>
            <w:r w:rsidRPr="00FC70D8">
              <w:rPr>
                <w:rFonts w:ascii="Arial" w:eastAsiaTheme="minorEastAsia" w:hAnsi="Arial" w:cs="Arial"/>
                <w:sz w:val="10"/>
                <w:szCs w:val="10"/>
              </w:rPr>
              <w:t>Indicates support of CBW extension</w:t>
            </w:r>
          </w:p>
          <w:p w14:paraId="4F8D9373" w14:textId="3DFAD9AA" w:rsidR="00763D2F" w:rsidRPr="00FC70D8" w:rsidRDefault="00763D2F" w:rsidP="00724753">
            <w:pPr>
              <w:pStyle w:val="ListParagraph"/>
              <w:numPr>
                <w:ilvl w:val="0"/>
                <w:numId w:val="25"/>
              </w:numPr>
              <w:snapToGrid w:val="0"/>
              <w:spacing w:afterLines="50" w:after="120"/>
              <w:jc w:val="both"/>
              <w:rPr>
                <w:rFonts w:ascii="Arial" w:eastAsiaTheme="minorEastAsia" w:hAnsi="Arial" w:cs="Arial"/>
                <w:sz w:val="10"/>
                <w:szCs w:val="10"/>
              </w:rPr>
            </w:pPr>
            <w:r w:rsidRPr="00FC70D8">
              <w:rPr>
                <w:rFonts w:ascii="Arial" w:eastAsiaTheme="minorEastAsia" w:hAnsi="Arial" w:cs="Arial"/>
                <w:sz w:val="10"/>
                <w:szCs w:val="10"/>
              </w:rPr>
              <w:t>Extension</w:t>
            </w:r>
            <w:r w:rsidR="007D18C3">
              <w:rPr>
                <w:rFonts w:ascii="Arial" w:eastAsiaTheme="minorEastAsia" w:hAnsi="Arial" w:cs="Arial"/>
                <w:sz w:val="10"/>
                <w:szCs w:val="10"/>
              </w:rPr>
              <w:t xml:space="preserve"> in terms of BW/RB</w:t>
            </w:r>
            <w:r w:rsidRPr="00FC70D8">
              <w:rPr>
                <w:rFonts w:ascii="Arial" w:eastAsiaTheme="minorEastAsia" w:hAnsi="Arial" w:cs="Arial"/>
                <w:sz w:val="10"/>
                <w:szCs w:val="10"/>
              </w:rPr>
              <w:t xml:space="preserve"> is fixed </w:t>
            </w:r>
            <w:r w:rsidR="007D18C3">
              <w:rPr>
                <w:rFonts w:ascii="Arial" w:eastAsiaTheme="minorEastAsia" w:hAnsi="Arial" w:cs="Arial"/>
                <w:sz w:val="10"/>
                <w:szCs w:val="10"/>
              </w:rPr>
              <w:t>and defined by 38.101-1</w:t>
            </w:r>
          </w:p>
          <w:p w14:paraId="055E8935" w14:textId="77777777" w:rsidR="00763D2F" w:rsidRPr="00FC70D8" w:rsidRDefault="00763D2F" w:rsidP="00724753">
            <w:pPr>
              <w:pStyle w:val="ListParagraph"/>
              <w:numPr>
                <w:ilvl w:val="0"/>
                <w:numId w:val="25"/>
              </w:numPr>
              <w:snapToGrid w:val="0"/>
              <w:spacing w:afterLines="50" w:after="120"/>
              <w:jc w:val="both"/>
              <w:rPr>
                <w:rFonts w:ascii="Arial" w:eastAsiaTheme="minorEastAsia" w:hAnsi="Arial" w:cs="Arial"/>
                <w:sz w:val="10"/>
                <w:szCs w:val="10"/>
              </w:rPr>
            </w:pPr>
            <w:r w:rsidRPr="00FC70D8">
              <w:rPr>
                <w:rFonts w:ascii="Arial" w:eastAsiaTheme="minorEastAsia" w:hAnsi="Arial" w:cs="Arial"/>
                <w:sz w:val="10"/>
                <w:szCs w:val="10"/>
              </w:rPr>
              <w:t>Extension can be symmetric or asymmetric</w:t>
            </w:r>
          </w:p>
        </w:tc>
        <w:tc>
          <w:tcPr>
            <w:tcW w:w="796" w:type="dxa"/>
          </w:tcPr>
          <w:p w14:paraId="16C27559"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p>
        </w:tc>
        <w:tc>
          <w:tcPr>
            <w:tcW w:w="708" w:type="dxa"/>
          </w:tcPr>
          <w:p w14:paraId="3D1C888F"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sz w:val="10"/>
                <w:szCs w:val="10"/>
              </w:rPr>
              <w:t>Yes</w:t>
            </w:r>
          </w:p>
        </w:tc>
        <w:tc>
          <w:tcPr>
            <w:tcW w:w="723" w:type="dxa"/>
          </w:tcPr>
          <w:p w14:paraId="0AAFBCC1" w14:textId="77777777" w:rsidR="00763D2F" w:rsidRPr="00FC70D8" w:rsidRDefault="00763D2F" w:rsidP="00724753">
            <w:pPr>
              <w:keepNext/>
              <w:keepLines/>
              <w:overflowPunct w:val="0"/>
              <w:autoSpaceDE w:val="0"/>
              <w:autoSpaceDN w:val="0"/>
              <w:adjustRightInd w:val="0"/>
              <w:jc w:val="center"/>
              <w:textAlignment w:val="baseline"/>
              <w:rPr>
                <w:rFonts w:ascii="Arial" w:eastAsia="Gulim" w:hAnsi="Arial" w:cs="Arial"/>
                <w:b/>
                <w:sz w:val="10"/>
                <w:szCs w:val="10"/>
              </w:rPr>
            </w:pPr>
          </w:p>
        </w:tc>
        <w:tc>
          <w:tcPr>
            <w:tcW w:w="874" w:type="dxa"/>
          </w:tcPr>
          <w:p w14:paraId="12E8F3AF" w14:textId="2394A712" w:rsidR="00763D2F" w:rsidRPr="00FC70D8" w:rsidRDefault="00763D2F" w:rsidP="00724753">
            <w:pPr>
              <w:keepNext/>
              <w:keepLines/>
              <w:rPr>
                <w:rFonts w:ascii="Arial" w:hAnsi="Arial" w:cs="Arial"/>
                <w:b/>
                <w:sz w:val="10"/>
                <w:szCs w:val="10"/>
              </w:rPr>
            </w:pPr>
            <w:r w:rsidRPr="00FC70D8">
              <w:rPr>
                <w:rFonts w:ascii="Arial" w:hAnsi="Arial" w:cs="Arial"/>
                <w:sz w:val="10"/>
                <w:szCs w:val="10"/>
                <w:lang w:eastAsia="en-GB"/>
              </w:rPr>
              <w:t xml:space="preserve">The feature cannot be </w:t>
            </w:r>
            <w:proofErr w:type="gramStart"/>
            <w:r w:rsidRPr="00FC70D8">
              <w:rPr>
                <w:rFonts w:ascii="Arial" w:hAnsi="Arial" w:cs="Arial"/>
                <w:sz w:val="10"/>
                <w:szCs w:val="10"/>
                <w:lang w:eastAsia="en-GB"/>
              </w:rPr>
              <w:t>supported</w:t>
            </w:r>
            <w:proofErr w:type="gramEnd"/>
            <w:r w:rsidR="007C228D">
              <w:rPr>
                <w:rFonts w:ascii="Arial" w:hAnsi="Arial" w:cs="Arial"/>
                <w:sz w:val="10"/>
                <w:szCs w:val="10"/>
                <w:lang w:eastAsia="en-GB"/>
              </w:rPr>
              <w:t xml:space="preserve"> and legacy requirements of single CC apply.</w:t>
            </w:r>
          </w:p>
        </w:tc>
        <w:tc>
          <w:tcPr>
            <w:tcW w:w="784" w:type="dxa"/>
          </w:tcPr>
          <w:p w14:paraId="0DD94390" w14:textId="77777777" w:rsidR="00763D2F" w:rsidRPr="00FC70D8" w:rsidRDefault="00763D2F" w:rsidP="00724753">
            <w:pPr>
              <w:keepNext/>
              <w:keepLines/>
              <w:rPr>
                <w:rFonts w:ascii="Arial" w:hAnsi="Arial" w:cs="Arial"/>
                <w:b/>
                <w:sz w:val="10"/>
                <w:szCs w:val="10"/>
              </w:rPr>
            </w:pPr>
            <w:r w:rsidRPr="00FC70D8">
              <w:rPr>
                <w:rFonts w:ascii="Arial" w:eastAsiaTheme="minorEastAsia" w:hAnsi="Arial" w:cs="Arial"/>
                <w:sz w:val="10"/>
                <w:szCs w:val="10"/>
              </w:rPr>
              <w:t>Per Band</w:t>
            </w:r>
          </w:p>
        </w:tc>
        <w:tc>
          <w:tcPr>
            <w:tcW w:w="886" w:type="dxa"/>
          </w:tcPr>
          <w:p w14:paraId="6301AD9F"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sz w:val="10"/>
                <w:szCs w:val="10"/>
              </w:rPr>
              <w:t>No</w:t>
            </w:r>
          </w:p>
        </w:tc>
        <w:tc>
          <w:tcPr>
            <w:tcW w:w="802" w:type="dxa"/>
          </w:tcPr>
          <w:p w14:paraId="526EA373"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sz w:val="10"/>
                <w:szCs w:val="10"/>
              </w:rPr>
              <w:t>FR1 only</w:t>
            </w:r>
          </w:p>
        </w:tc>
        <w:tc>
          <w:tcPr>
            <w:tcW w:w="567" w:type="dxa"/>
          </w:tcPr>
          <w:p w14:paraId="798141D3"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p>
        </w:tc>
        <w:tc>
          <w:tcPr>
            <w:tcW w:w="874" w:type="dxa"/>
          </w:tcPr>
          <w:p w14:paraId="6EC72DB1"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p>
        </w:tc>
        <w:tc>
          <w:tcPr>
            <w:tcW w:w="745" w:type="dxa"/>
          </w:tcPr>
          <w:p w14:paraId="6A30CAAC"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sz w:val="10"/>
                <w:szCs w:val="10"/>
                <w:lang w:eastAsia="en-GB"/>
              </w:rPr>
              <w:t xml:space="preserve">Optional with capability </w:t>
            </w:r>
            <w:proofErr w:type="spellStart"/>
            <w:r w:rsidRPr="00FC70D8">
              <w:rPr>
                <w:rFonts w:ascii="Arial" w:hAnsi="Arial" w:cs="Arial"/>
                <w:sz w:val="10"/>
                <w:szCs w:val="10"/>
                <w:lang w:eastAsia="en-GB"/>
              </w:rPr>
              <w:t>signaling</w:t>
            </w:r>
            <w:proofErr w:type="spellEnd"/>
          </w:p>
        </w:tc>
      </w:tr>
      <w:tr w:rsidR="00763D2F" w:rsidRPr="00F218D2" w14:paraId="2C08C12E" w14:textId="77777777" w:rsidTr="00724753">
        <w:trPr>
          <w:trHeight w:val="20"/>
        </w:trPr>
        <w:tc>
          <w:tcPr>
            <w:tcW w:w="1123" w:type="dxa"/>
          </w:tcPr>
          <w:p w14:paraId="5101286D"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hint="eastAsia"/>
                <w:sz w:val="10"/>
                <w:szCs w:val="10"/>
              </w:rPr>
              <w:t>46. NR_ENDC_RF_Ph4</w:t>
            </w:r>
          </w:p>
        </w:tc>
        <w:tc>
          <w:tcPr>
            <w:tcW w:w="506" w:type="dxa"/>
          </w:tcPr>
          <w:p w14:paraId="3478B2A4"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hint="eastAsia"/>
                <w:sz w:val="10"/>
                <w:szCs w:val="10"/>
              </w:rPr>
              <w:t>46-</w:t>
            </w:r>
            <w:r w:rsidRPr="00FC70D8">
              <w:rPr>
                <w:rFonts w:ascii="Arial" w:eastAsiaTheme="minorEastAsia" w:hAnsi="Arial" w:cs="Arial"/>
                <w:sz w:val="10"/>
                <w:szCs w:val="10"/>
              </w:rPr>
              <w:t>2</w:t>
            </w:r>
          </w:p>
        </w:tc>
        <w:tc>
          <w:tcPr>
            <w:tcW w:w="802" w:type="dxa"/>
          </w:tcPr>
          <w:p w14:paraId="156A1DA4"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sz w:val="10"/>
                <w:szCs w:val="10"/>
              </w:rPr>
              <w:t>Support of CBW extension based MPR reduction</w:t>
            </w:r>
          </w:p>
        </w:tc>
        <w:tc>
          <w:tcPr>
            <w:tcW w:w="1296" w:type="dxa"/>
          </w:tcPr>
          <w:p w14:paraId="22FFCAD0" w14:textId="77777777" w:rsidR="00763D2F" w:rsidRPr="00FC70D8" w:rsidRDefault="00763D2F" w:rsidP="00724753">
            <w:pPr>
              <w:snapToGrid w:val="0"/>
              <w:spacing w:afterLines="50" w:after="120"/>
              <w:contextualSpacing/>
              <w:jc w:val="both"/>
              <w:rPr>
                <w:rFonts w:ascii="Arial" w:eastAsiaTheme="minorEastAsia" w:hAnsi="Arial" w:cs="Arial"/>
                <w:sz w:val="10"/>
                <w:szCs w:val="10"/>
              </w:rPr>
            </w:pPr>
            <w:r w:rsidRPr="00FC70D8">
              <w:rPr>
                <w:rFonts w:ascii="Arial" w:eastAsiaTheme="minorEastAsia" w:hAnsi="Arial" w:cs="Arial"/>
                <w:sz w:val="10"/>
                <w:szCs w:val="10"/>
              </w:rPr>
              <w:t>Indicates support of CBW extension</w:t>
            </w:r>
          </w:p>
          <w:p w14:paraId="4A1443CF" w14:textId="777C48AB" w:rsidR="00763D2F" w:rsidRPr="00FC70D8" w:rsidRDefault="007D18C3" w:rsidP="00724753">
            <w:pPr>
              <w:pStyle w:val="ListParagraph"/>
              <w:numPr>
                <w:ilvl w:val="0"/>
                <w:numId w:val="25"/>
              </w:numPr>
              <w:snapToGrid w:val="0"/>
              <w:spacing w:afterLines="50" w:after="120"/>
              <w:jc w:val="both"/>
              <w:rPr>
                <w:rFonts w:ascii="Arial" w:eastAsiaTheme="minorEastAsia" w:hAnsi="Arial" w:cs="Arial"/>
                <w:sz w:val="10"/>
                <w:szCs w:val="10"/>
              </w:rPr>
            </w:pPr>
            <w:r w:rsidRPr="00FC70D8">
              <w:rPr>
                <w:rFonts w:ascii="Arial" w:eastAsiaTheme="minorEastAsia" w:hAnsi="Arial" w:cs="Arial"/>
                <w:sz w:val="10"/>
                <w:szCs w:val="10"/>
              </w:rPr>
              <w:t>Extension</w:t>
            </w:r>
            <w:r>
              <w:rPr>
                <w:rFonts w:ascii="Arial" w:eastAsiaTheme="minorEastAsia" w:hAnsi="Arial" w:cs="Arial"/>
                <w:sz w:val="10"/>
                <w:szCs w:val="10"/>
              </w:rPr>
              <w:t xml:space="preserve"> in terms of BW/RB</w:t>
            </w:r>
            <w:r w:rsidRPr="00FC70D8">
              <w:rPr>
                <w:rFonts w:ascii="Arial" w:eastAsiaTheme="minorEastAsia" w:hAnsi="Arial" w:cs="Arial"/>
                <w:sz w:val="10"/>
                <w:szCs w:val="10"/>
              </w:rPr>
              <w:t xml:space="preserve"> is</w:t>
            </w:r>
            <w:r>
              <w:rPr>
                <w:rFonts w:ascii="Arial" w:eastAsiaTheme="minorEastAsia" w:hAnsi="Arial" w:cs="Arial"/>
                <w:sz w:val="10"/>
                <w:szCs w:val="10"/>
              </w:rPr>
              <w:t xml:space="preserve"> more </w:t>
            </w:r>
            <w:r w:rsidR="00763D2F" w:rsidRPr="00FC70D8">
              <w:rPr>
                <w:rFonts w:ascii="Arial" w:eastAsiaTheme="minorEastAsia" w:hAnsi="Arial" w:cs="Arial"/>
                <w:sz w:val="10"/>
                <w:szCs w:val="10"/>
              </w:rPr>
              <w:t>flexible</w:t>
            </w:r>
            <w:r>
              <w:rPr>
                <w:rFonts w:ascii="Arial" w:eastAsiaTheme="minorEastAsia" w:hAnsi="Arial" w:cs="Arial"/>
                <w:sz w:val="10"/>
                <w:szCs w:val="10"/>
              </w:rPr>
              <w:t xml:space="preserve"> and defined by 38.101-1</w:t>
            </w:r>
            <w:r w:rsidR="00763D2F" w:rsidRPr="00FC70D8">
              <w:rPr>
                <w:rFonts w:ascii="Arial" w:eastAsiaTheme="minorEastAsia" w:hAnsi="Arial" w:cs="Arial"/>
                <w:sz w:val="10"/>
                <w:szCs w:val="10"/>
              </w:rPr>
              <w:t xml:space="preserve"> </w:t>
            </w:r>
          </w:p>
          <w:p w14:paraId="067A4986" w14:textId="77777777" w:rsidR="00763D2F" w:rsidRPr="00FC70D8" w:rsidRDefault="00763D2F" w:rsidP="00724753">
            <w:pPr>
              <w:pStyle w:val="ListParagraph"/>
              <w:numPr>
                <w:ilvl w:val="0"/>
                <w:numId w:val="25"/>
              </w:numPr>
              <w:snapToGrid w:val="0"/>
              <w:spacing w:afterLines="50" w:after="120"/>
              <w:jc w:val="both"/>
              <w:rPr>
                <w:rFonts w:ascii="Arial" w:eastAsiaTheme="minorEastAsia" w:hAnsi="Arial" w:cs="Arial"/>
                <w:sz w:val="10"/>
                <w:szCs w:val="10"/>
              </w:rPr>
            </w:pPr>
            <w:r w:rsidRPr="00FC70D8">
              <w:rPr>
                <w:rFonts w:ascii="Arial" w:eastAsiaTheme="minorEastAsia" w:hAnsi="Arial" w:cs="Arial"/>
                <w:sz w:val="10"/>
                <w:szCs w:val="10"/>
              </w:rPr>
              <w:t>Extension can be symmetric or asymmetric</w:t>
            </w:r>
          </w:p>
        </w:tc>
        <w:tc>
          <w:tcPr>
            <w:tcW w:w="796" w:type="dxa"/>
          </w:tcPr>
          <w:p w14:paraId="1C634DAF"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p>
        </w:tc>
        <w:tc>
          <w:tcPr>
            <w:tcW w:w="708" w:type="dxa"/>
          </w:tcPr>
          <w:p w14:paraId="28A7E84D"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sz w:val="10"/>
                <w:szCs w:val="10"/>
              </w:rPr>
              <w:t>Yes</w:t>
            </w:r>
          </w:p>
        </w:tc>
        <w:tc>
          <w:tcPr>
            <w:tcW w:w="723" w:type="dxa"/>
          </w:tcPr>
          <w:p w14:paraId="4C878E84" w14:textId="77777777" w:rsidR="00763D2F" w:rsidRPr="00FC70D8" w:rsidRDefault="00763D2F" w:rsidP="00724753">
            <w:pPr>
              <w:keepNext/>
              <w:keepLines/>
              <w:overflowPunct w:val="0"/>
              <w:autoSpaceDE w:val="0"/>
              <w:autoSpaceDN w:val="0"/>
              <w:adjustRightInd w:val="0"/>
              <w:jc w:val="center"/>
              <w:textAlignment w:val="baseline"/>
              <w:rPr>
                <w:rFonts w:ascii="Arial" w:eastAsia="Gulim" w:hAnsi="Arial" w:cs="Arial"/>
                <w:b/>
                <w:sz w:val="10"/>
                <w:szCs w:val="10"/>
              </w:rPr>
            </w:pPr>
          </w:p>
        </w:tc>
        <w:tc>
          <w:tcPr>
            <w:tcW w:w="874" w:type="dxa"/>
          </w:tcPr>
          <w:p w14:paraId="07732ECE" w14:textId="78CE7613" w:rsidR="00763D2F" w:rsidRPr="00FC70D8" w:rsidRDefault="007C228D" w:rsidP="00724753">
            <w:pPr>
              <w:keepNext/>
              <w:keepLines/>
              <w:rPr>
                <w:rFonts w:ascii="Arial" w:hAnsi="Arial" w:cs="Arial"/>
                <w:b/>
                <w:sz w:val="10"/>
                <w:szCs w:val="10"/>
              </w:rPr>
            </w:pPr>
            <w:r w:rsidRPr="00FC70D8">
              <w:rPr>
                <w:rFonts w:ascii="Arial" w:hAnsi="Arial" w:cs="Arial"/>
                <w:sz w:val="10"/>
                <w:szCs w:val="10"/>
                <w:lang w:eastAsia="en-GB"/>
              </w:rPr>
              <w:t xml:space="preserve">The feature cannot be </w:t>
            </w:r>
            <w:proofErr w:type="gramStart"/>
            <w:r w:rsidRPr="00FC70D8">
              <w:rPr>
                <w:rFonts w:ascii="Arial" w:hAnsi="Arial" w:cs="Arial"/>
                <w:sz w:val="10"/>
                <w:szCs w:val="10"/>
                <w:lang w:eastAsia="en-GB"/>
              </w:rPr>
              <w:t>supported</w:t>
            </w:r>
            <w:proofErr w:type="gramEnd"/>
            <w:r>
              <w:rPr>
                <w:rFonts w:ascii="Arial" w:hAnsi="Arial" w:cs="Arial"/>
                <w:sz w:val="10"/>
                <w:szCs w:val="10"/>
                <w:lang w:eastAsia="en-GB"/>
              </w:rPr>
              <w:t xml:space="preserve"> and legacy requirements of single CC apply.</w:t>
            </w:r>
          </w:p>
        </w:tc>
        <w:tc>
          <w:tcPr>
            <w:tcW w:w="784" w:type="dxa"/>
          </w:tcPr>
          <w:p w14:paraId="68D747EF" w14:textId="77777777" w:rsidR="00763D2F" w:rsidRPr="00FC70D8" w:rsidRDefault="00763D2F" w:rsidP="00724753">
            <w:pPr>
              <w:keepNext/>
              <w:keepLines/>
              <w:rPr>
                <w:rFonts w:ascii="Arial" w:hAnsi="Arial" w:cs="Arial"/>
                <w:b/>
                <w:sz w:val="10"/>
                <w:szCs w:val="10"/>
              </w:rPr>
            </w:pPr>
            <w:r w:rsidRPr="00FC70D8">
              <w:rPr>
                <w:rFonts w:ascii="Arial" w:eastAsiaTheme="minorEastAsia" w:hAnsi="Arial" w:cs="Arial"/>
                <w:sz w:val="10"/>
                <w:szCs w:val="10"/>
              </w:rPr>
              <w:t>Per Band</w:t>
            </w:r>
          </w:p>
        </w:tc>
        <w:tc>
          <w:tcPr>
            <w:tcW w:w="886" w:type="dxa"/>
          </w:tcPr>
          <w:p w14:paraId="25EF9762"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sz w:val="10"/>
                <w:szCs w:val="10"/>
              </w:rPr>
              <w:t>No</w:t>
            </w:r>
          </w:p>
        </w:tc>
        <w:tc>
          <w:tcPr>
            <w:tcW w:w="802" w:type="dxa"/>
          </w:tcPr>
          <w:p w14:paraId="738F523B"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sz w:val="10"/>
                <w:szCs w:val="10"/>
              </w:rPr>
              <w:t>FR1 only</w:t>
            </w:r>
          </w:p>
        </w:tc>
        <w:tc>
          <w:tcPr>
            <w:tcW w:w="567" w:type="dxa"/>
          </w:tcPr>
          <w:p w14:paraId="5C529426"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p>
        </w:tc>
        <w:tc>
          <w:tcPr>
            <w:tcW w:w="874" w:type="dxa"/>
          </w:tcPr>
          <w:p w14:paraId="670A533D" w14:textId="77777777" w:rsidR="00763D2F" w:rsidRPr="00367805" w:rsidRDefault="00763D2F" w:rsidP="00724753">
            <w:pPr>
              <w:keepNext/>
              <w:keepLines/>
              <w:overflowPunct w:val="0"/>
              <w:autoSpaceDE w:val="0"/>
              <w:autoSpaceDN w:val="0"/>
              <w:adjustRightInd w:val="0"/>
              <w:jc w:val="center"/>
              <w:textAlignment w:val="baseline"/>
              <w:rPr>
                <w:rFonts w:ascii="Arial" w:hAnsi="Arial" w:cs="Arial"/>
                <w:bCs/>
                <w:sz w:val="10"/>
                <w:szCs w:val="10"/>
              </w:rPr>
            </w:pPr>
            <w:r w:rsidRPr="00367805">
              <w:rPr>
                <w:rFonts w:ascii="Arial" w:hAnsi="Arial" w:cs="Arial"/>
                <w:bCs/>
                <w:sz w:val="10"/>
                <w:szCs w:val="10"/>
                <w:lang w:val="en-US"/>
              </w:rPr>
              <w:t>TBD values of CBW extension size</w:t>
            </w:r>
          </w:p>
        </w:tc>
        <w:tc>
          <w:tcPr>
            <w:tcW w:w="745" w:type="dxa"/>
          </w:tcPr>
          <w:p w14:paraId="12283869"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sz w:val="10"/>
                <w:szCs w:val="10"/>
                <w:lang w:eastAsia="en-GB"/>
              </w:rPr>
              <w:t xml:space="preserve">Optional with capability </w:t>
            </w:r>
            <w:proofErr w:type="spellStart"/>
            <w:r w:rsidRPr="00FC70D8">
              <w:rPr>
                <w:rFonts w:ascii="Arial" w:hAnsi="Arial" w:cs="Arial"/>
                <w:sz w:val="10"/>
                <w:szCs w:val="10"/>
                <w:lang w:eastAsia="en-GB"/>
              </w:rPr>
              <w:t>signaling</w:t>
            </w:r>
            <w:proofErr w:type="spellEnd"/>
          </w:p>
        </w:tc>
      </w:tr>
      <w:tr w:rsidR="00CE693D" w:rsidRPr="00F218D2" w14:paraId="390C3FC7" w14:textId="77777777" w:rsidTr="00724753">
        <w:trPr>
          <w:trHeight w:val="20"/>
        </w:trPr>
        <w:tc>
          <w:tcPr>
            <w:tcW w:w="1123" w:type="dxa"/>
          </w:tcPr>
          <w:p w14:paraId="7E9FB707" w14:textId="1D80244A" w:rsidR="00CE693D" w:rsidRPr="00FC70D8" w:rsidRDefault="00B130C5" w:rsidP="00724753">
            <w:pPr>
              <w:keepNext/>
              <w:keepLines/>
              <w:overflowPunct w:val="0"/>
              <w:autoSpaceDE w:val="0"/>
              <w:autoSpaceDN w:val="0"/>
              <w:adjustRightInd w:val="0"/>
              <w:jc w:val="center"/>
              <w:textAlignment w:val="baseline"/>
              <w:rPr>
                <w:rFonts w:ascii="Arial" w:eastAsiaTheme="minorEastAsia" w:hAnsi="Arial" w:cs="Arial"/>
                <w:sz w:val="10"/>
                <w:szCs w:val="10"/>
              </w:rPr>
            </w:pPr>
            <w:r w:rsidRPr="00FC70D8">
              <w:rPr>
                <w:rFonts w:ascii="Arial" w:eastAsiaTheme="minorEastAsia" w:hAnsi="Arial" w:cs="Arial" w:hint="eastAsia"/>
                <w:sz w:val="10"/>
                <w:szCs w:val="10"/>
              </w:rPr>
              <w:t>46. NR_ENDC_RF_Ph4</w:t>
            </w:r>
          </w:p>
        </w:tc>
        <w:tc>
          <w:tcPr>
            <w:tcW w:w="506" w:type="dxa"/>
          </w:tcPr>
          <w:p w14:paraId="503D78AF" w14:textId="2A8A6917" w:rsidR="00CE693D" w:rsidRPr="00FC70D8" w:rsidRDefault="00CE693D" w:rsidP="00724753">
            <w:pPr>
              <w:keepNext/>
              <w:keepLines/>
              <w:overflowPunct w:val="0"/>
              <w:autoSpaceDE w:val="0"/>
              <w:autoSpaceDN w:val="0"/>
              <w:adjustRightInd w:val="0"/>
              <w:jc w:val="center"/>
              <w:textAlignment w:val="baseline"/>
              <w:rPr>
                <w:rFonts w:ascii="Arial" w:eastAsiaTheme="minorEastAsia" w:hAnsi="Arial" w:cs="Arial"/>
                <w:sz w:val="10"/>
                <w:szCs w:val="10"/>
              </w:rPr>
            </w:pPr>
            <w:r>
              <w:rPr>
                <w:rFonts w:ascii="Arial" w:eastAsiaTheme="minorEastAsia" w:hAnsi="Arial" w:cs="Arial"/>
                <w:sz w:val="10"/>
                <w:szCs w:val="10"/>
              </w:rPr>
              <w:t>46-3</w:t>
            </w:r>
          </w:p>
        </w:tc>
        <w:tc>
          <w:tcPr>
            <w:tcW w:w="802" w:type="dxa"/>
          </w:tcPr>
          <w:p w14:paraId="614BB60D" w14:textId="0480B4E9" w:rsidR="00CE693D" w:rsidRPr="00FC70D8" w:rsidRDefault="00CE693D" w:rsidP="00724753">
            <w:pPr>
              <w:keepNext/>
              <w:keepLines/>
              <w:overflowPunct w:val="0"/>
              <w:autoSpaceDE w:val="0"/>
              <w:autoSpaceDN w:val="0"/>
              <w:adjustRightInd w:val="0"/>
              <w:jc w:val="center"/>
              <w:textAlignment w:val="baseline"/>
              <w:rPr>
                <w:rFonts w:ascii="Arial" w:eastAsiaTheme="minorEastAsia" w:hAnsi="Arial" w:cs="Arial"/>
                <w:sz w:val="10"/>
                <w:szCs w:val="10"/>
              </w:rPr>
            </w:pPr>
            <w:r>
              <w:rPr>
                <w:rFonts w:ascii="Arial" w:eastAsiaTheme="minorEastAsia" w:hAnsi="Arial" w:cs="Arial"/>
                <w:sz w:val="10"/>
                <w:szCs w:val="10"/>
              </w:rPr>
              <w:t>MPR enhancement for carrier aggregation</w:t>
            </w:r>
          </w:p>
        </w:tc>
        <w:tc>
          <w:tcPr>
            <w:tcW w:w="1296" w:type="dxa"/>
          </w:tcPr>
          <w:p w14:paraId="309400D1" w14:textId="699F9834" w:rsidR="00CE693D" w:rsidRPr="00FC70D8" w:rsidRDefault="00CE693D" w:rsidP="00724753">
            <w:pPr>
              <w:snapToGrid w:val="0"/>
              <w:spacing w:afterLines="50" w:after="120"/>
              <w:contextualSpacing/>
              <w:jc w:val="both"/>
              <w:rPr>
                <w:rFonts w:ascii="Arial" w:eastAsiaTheme="minorEastAsia" w:hAnsi="Arial" w:cs="Arial"/>
                <w:sz w:val="10"/>
                <w:szCs w:val="10"/>
              </w:rPr>
            </w:pPr>
            <w:r>
              <w:rPr>
                <w:rFonts w:ascii="Arial" w:eastAsiaTheme="minorEastAsia" w:hAnsi="Arial" w:cs="Arial"/>
                <w:sz w:val="10"/>
                <w:szCs w:val="10"/>
              </w:rPr>
              <w:t>Indicates support for single CC MPR if only one CC is actively transmitting in an intra-band UL contiguous CA configuration.</w:t>
            </w:r>
          </w:p>
        </w:tc>
        <w:tc>
          <w:tcPr>
            <w:tcW w:w="796" w:type="dxa"/>
          </w:tcPr>
          <w:p w14:paraId="38F02193" w14:textId="77777777" w:rsidR="00CE693D" w:rsidRPr="00FC70D8" w:rsidRDefault="00CE693D" w:rsidP="00724753">
            <w:pPr>
              <w:keepNext/>
              <w:keepLines/>
              <w:overflowPunct w:val="0"/>
              <w:autoSpaceDE w:val="0"/>
              <w:autoSpaceDN w:val="0"/>
              <w:adjustRightInd w:val="0"/>
              <w:jc w:val="center"/>
              <w:textAlignment w:val="baseline"/>
              <w:rPr>
                <w:rFonts w:ascii="Arial" w:hAnsi="Arial" w:cs="Arial"/>
                <w:b/>
                <w:sz w:val="10"/>
                <w:szCs w:val="10"/>
              </w:rPr>
            </w:pPr>
          </w:p>
        </w:tc>
        <w:tc>
          <w:tcPr>
            <w:tcW w:w="708" w:type="dxa"/>
          </w:tcPr>
          <w:p w14:paraId="6F44E176" w14:textId="21F94717" w:rsidR="00CE693D" w:rsidRPr="00FC70D8" w:rsidRDefault="007C228D" w:rsidP="00724753">
            <w:pPr>
              <w:keepNext/>
              <w:keepLines/>
              <w:overflowPunct w:val="0"/>
              <w:autoSpaceDE w:val="0"/>
              <w:autoSpaceDN w:val="0"/>
              <w:adjustRightInd w:val="0"/>
              <w:jc w:val="center"/>
              <w:textAlignment w:val="baseline"/>
              <w:rPr>
                <w:rFonts w:ascii="Arial" w:eastAsiaTheme="minorEastAsia" w:hAnsi="Arial" w:cs="Arial"/>
                <w:sz w:val="10"/>
                <w:szCs w:val="10"/>
              </w:rPr>
            </w:pPr>
            <w:r>
              <w:rPr>
                <w:rFonts w:ascii="Arial" w:eastAsiaTheme="minorEastAsia" w:hAnsi="Arial" w:cs="Arial"/>
                <w:sz w:val="10"/>
                <w:szCs w:val="10"/>
              </w:rPr>
              <w:t>Yes</w:t>
            </w:r>
          </w:p>
        </w:tc>
        <w:tc>
          <w:tcPr>
            <w:tcW w:w="723" w:type="dxa"/>
          </w:tcPr>
          <w:p w14:paraId="408A5CA2" w14:textId="77777777" w:rsidR="00CE693D" w:rsidRPr="00FC70D8" w:rsidRDefault="00CE693D" w:rsidP="00724753">
            <w:pPr>
              <w:keepNext/>
              <w:keepLines/>
              <w:overflowPunct w:val="0"/>
              <w:autoSpaceDE w:val="0"/>
              <w:autoSpaceDN w:val="0"/>
              <w:adjustRightInd w:val="0"/>
              <w:jc w:val="center"/>
              <w:textAlignment w:val="baseline"/>
              <w:rPr>
                <w:rFonts w:ascii="Arial" w:eastAsia="Gulim" w:hAnsi="Arial" w:cs="Arial"/>
                <w:b/>
                <w:sz w:val="10"/>
                <w:szCs w:val="10"/>
              </w:rPr>
            </w:pPr>
          </w:p>
        </w:tc>
        <w:tc>
          <w:tcPr>
            <w:tcW w:w="874" w:type="dxa"/>
          </w:tcPr>
          <w:p w14:paraId="17109AEE" w14:textId="0A945D5D" w:rsidR="00CE693D" w:rsidRPr="00FC70D8" w:rsidRDefault="007C228D" w:rsidP="00724753">
            <w:pPr>
              <w:keepNext/>
              <w:keepLines/>
              <w:rPr>
                <w:rFonts w:ascii="Arial" w:hAnsi="Arial" w:cs="Arial"/>
                <w:sz w:val="10"/>
                <w:szCs w:val="10"/>
                <w:lang w:eastAsia="en-GB"/>
              </w:rPr>
            </w:pPr>
            <w:r w:rsidRPr="00FC70D8">
              <w:rPr>
                <w:rFonts w:ascii="Arial" w:hAnsi="Arial" w:cs="Arial"/>
                <w:sz w:val="10"/>
                <w:szCs w:val="10"/>
                <w:lang w:eastAsia="en-GB"/>
              </w:rPr>
              <w:t xml:space="preserve">The feature cannot be </w:t>
            </w:r>
            <w:proofErr w:type="gramStart"/>
            <w:r w:rsidRPr="00FC70D8">
              <w:rPr>
                <w:rFonts w:ascii="Arial" w:hAnsi="Arial" w:cs="Arial"/>
                <w:sz w:val="10"/>
                <w:szCs w:val="10"/>
                <w:lang w:eastAsia="en-GB"/>
              </w:rPr>
              <w:t>supported</w:t>
            </w:r>
            <w:proofErr w:type="gramEnd"/>
            <w:r>
              <w:rPr>
                <w:rFonts w:ascii="Arial" w:hAnsi="Arial" w:cs="Arial"/>
                <w:sz w:val="10"/>
                <w:szCs w:val="10"/>
                <w:lang w:eastAsia="en-GB"/>
              </w:rPr>
              <w:t xml:space="preserve"> and legacy requirements of </w:t>
            </w:r>
            <w:r>
              <w:rPr>
                <w:rFonts w:ascii="Arial" w:eastAsiaTheme="minorEastAsia" w:hAnsi="Arial" w:cs="Arial"/>
                <w:sz w:val="10"/>
                <w:szCs w:val="10"/>
              </w:rPr>
              <w:t xml:space="preserve">intra-band UL contiguous CA </w:t>
            </w:r>
            <w:r>
              <w:rPr>
                <w:rFonts w:ascii="Arial" w:hAnsi="Arial" w:cs="Arial"/>
                <w:sz w:val="10"/>
                <w:szCs w:val="10"/>
                <w:lang w:eastAsia="en-GB"/>
              </w:rPr>
              <w:t>apply.</w:t>
            </w:r>
          </w:p>
        </w:tc>
        <w:tc>
          <w:tcPr>
            <w:tcW w:w="784" w:type="dxa"/>
          </w:tcPr>
          <w:p w14:paraId="73145B66" w14:textId="11BF74B0" w:rsidR="00CE693D" w:rsidRPr="00FC70D8" w:rsidRDefault="00F51C98" w:rsidP="00724753">
            <w:pPr>
              <w:keepNext/>
              <w:keepLines/>
              <w:rPr>
                <w:rFonts w:ascii="Arial" w:eastAsiaTheme="minorEastAsia" w:hAnsi="Arial" w:cs="Arial"/>
                <w:sz w:val="10"/>
                <w:szCs w:val="10"/>
              </w:rPr>
            </w:pPr>
            <w:r>
              <w:rPr>
                <w:rFonts w:ascii="Arial" w:eastAsiaTheme="minorEastAsia" w:hAnsi="Arial" w:cs="Arial"/>
                <w:sz w:val="10"/>
                <w:szCs w:val="10"/>
              </w:rPr>
              <w:t>Per BC</w:t>
            </w:r>
          </w:p>
        </w:tc>
        <w:tc>
          <w:tcPr>
            <w:tcW w:w="886" w:type="dxa"/>
          </w:tcPr>
          <w:p w14:paraId="6F034812" w14:textId="4CAAA3EB" w:rsidR="00CE693D" w:rsidRPr="00FC70D8" w:rsidRDefault="004566D3" w:rsidP="00724753">
            <w:pPr>
              <w:keepNext/>
              <w:keepLines/>
              <w:overflowPunct w:val="0"/>
              <w:autoSpaceDE w:val="0"/>
              <w:autoSpaceDN w:val="0"/>
              <w:adjustRightInd w:val="0"/>
              <w:jc w:val="center"/>
              <w:textAlignment w:val="baseline"/>
              <w:rPr>
                <w:rFonts w:ascii="Arial" w:eastAsiaTheme="minorEastAsia" w:hAnsi="Arial" w:cs="Arial"/>
                <w:sz w:val="10"/>
                <w:szCs w:val="10"/>
              </w:rPr>
            </w:pPr>
            <w:r>
              <w:rPr>
                <w:rFonts w:ascii="Arial" w:eastAsiaTheme="minorEastAsia" w:hAnsi="Arial" w:cs="Arial"/>
                <w:sz w:val="10"/>
                <w:szCs w:val="10"/>
              </w:rPr>
              <w:t>No</w:t>
            </w:r>
          </w:p>
        </w:tc>
        <w:tc>
          <w:tcPr>
            <w:tcW w:w="802" w:type="dxa"/>
          </w:tcPr>
          <w:p w14:paraId="6BF0C9A8" w14:textId="5C6CD024" w:rsidR="00CE693D" w:rsidRPr="00FC70D8" w:rsidRDefault="004566D3" w:rsidP="00724753">
            <w:pPr>
              <w:keepNext/>
              <w:keepLines/>
              <w:overflowPunct w:val="0"/>
              <w:autoSpaceDE w:val="0"/>
              <w:autoSpaceDN w:val="0"/>
              <w:adjustRightInd w:val="0"/>
              <w:jc w:val="center"/>
              <w:textAlignment w:val="baseline"/>
              <w:rPr>
                <w:rFonts w:ascii="Arial" w:eastAsiaTheme="minorEastAsia" w:hAnsi="Arial" w:cs="Arial"/>
                <w:sz w:val="10"/>
                <w:szCs w:val="10"/>
              </w:rPr>
            </w:pPr>
            <w:r>
              <w:rPr>
                <w:rFonts w:ascii="Arial" w:eastAsiaTheme="minorEastAsia" w:hAnsi="Arial" w:cs="Arial"/>
                <w:sz w:val="10"/>
                <w:szCs w:val="10"/>
              </w:rPr>
              <w:t>FR1 only</w:t>
            </w:r>
          </w:p>
        </w:tc>
        <w:tc>
          <w:tcPr>
            <w:tcW w:w="567" w:type="dxa"/>
          </w:tcPr>
          <w:p w14:paraId="0F751A43" w14:textId="77777777" w:rsidR="00CE693D" w:rsidRPr="00FC70D8" w:rsidRDefault="00CE693D" w:rsidP="00724753">
            <w:pPr>
              <w:keepNext/>
              <w:keepLines/>
              <w:overflowPunct w:val="0"/>
              <w:autoSpaceDE w:val="0"/>
              <w:autoSpaceDN w:val="0"/>
              <w:adjustRightInd w:val="0"/>
              <w:jc w:val="center"/>
              <w:textAlignment w:val="baseline"/>
              <w:rPr>
                <w:rFonts w:ascii="Arial" w:hAnsi="Arial" w:cs="Arial"/>
                <w:b/>
                <w:sz w:val="10"/>
                <w:szCs w:val="10"/>
              </w:rPr>
            </w:pPr>
          </w:p>
        </w:tc>
        <w:tc>
          <w:tcPr>
            <w:tcW w:w="874" w:type="dxa"/>
          </w:tcPr>
          <w:p w14:paraId="1A7D22EE" w14:textId="77777777" w:rsidR="00CE693D" w:rsidRPr="00367805" w:rsidRDefault="00CE693D" w:rsidP="00724753">
            <w:pPr>
              <w:keepNext/>
              <w:keepLines/>
              <w:overflowPunct w:val="0"/>
              <w:autoSpaceDE w:val="0"/>
              <w:autoSpaceDN w:val="0"/>
              <w:adjustRightInd w:val="0"/>
              <w:jc w:val="center"/>
              <w:textAlignment w:val="baseline"/>
              <w:rPr>
                <w:rFonts w:ascii="Arial" w:hAnsi="Arial" w:cs="Arial"/>
                <w:bCs/>
                <w:sz w:val="10"/>
                <w:szCs w:val="10"/>
                <w:lang w:val="en-US"/>
              </w:rPr>
            </w:pPr>
          </w:p>
        </w:tc>
        <w:tc>
          <w:tcPr>
            <w:tcW w:w="745" w:type="dxa"/>
          </w:tcPr>
          <w:p w14:paraId="4DB1CCD7" w14:textId="151A9AC2" w:rsidR="00CE693D" w:rsidRPr="00FC70D8" w:rsidRDefault="004566D3" w:rsidP="00724753">
            <w:pPr>
              <w:keepNext/>
              <w:keepLines/>
              <w:overflowPunct w:val="0"/>
              <w:autoSpaceDE w:val="0"/>
              <w:autoSpaceDN w:val="0"/>
              <w:adjustRightInd w:val="0"/>
              <w:jc w:val="center"/>
              <w:textAlignment w:val="baseline"/>
              <w:rPr>
                <w:rFonts w:ascii="Arial" w:hAnsi="Arial" w:cs="Arial"/>
                <w:sz w:val="10"/>
                <w:szCs w:val="10"/>
                <w:lang w:eastAsia="en-GB"/>
              </w:rPr>
            </w:pPr>
            <w:r w:rsidRPr="00FC70D8">
              <w:rPr>
                <w:rFonts w:ascii="Arial" w:hAnsi="Arial" w:cs="Arial"/>
                <w:sz w:val="10"/>
                <w:szCs w:val="10"/>
                <w:lang w:eastAsia="en-GB"/>
              </w:rPr>
              <w:t xml:space="preserve">Optional with capability </w:t>
            </w:r>
            <w:proofErr w:type="spellStart"/>
            <w:r w:rsidRPr="00FC70D8">
              <w:rPr>
                <w:rFonts w:ascii="Arial" w:hAnsi="Arial" w:cs="Arial"/>
                <w:sz w:val="10"/>
                <w:szCs w:val="10"/>
                <w:lang w:eastAsia="en-GB"/>
              </w:rPr>
              <w:t>signaling</w:t>
            </w:r>
            <w:proofErr w:type="spellEnd"/>
          </w:p>
        </w:tc>
      </w:tr>
      <w:tr w:rsidR="00B130C5" w:rsidRPr="00F218D2" w14:paraId="54ED528F" w14:textId="77777777" w:rsidTr="00724753">
        <w:trPr>
          <w:trHeight w:val="20"/>
        </w:trPr>
        <w:tc>
          <w:tcPr>
            <w:tcW w:w="1123" w:type="dxa"/>
          </w:tcPr>
          <w:p w14:paraId="4F4AEE71" w14:textId="57FCF30A" w:rsidR="00B130C5" w:rsidRPr="00FC70D8" w:rsidRDefault="00B130C5" w:rsidP="00724753">
            <w:pPr>
              <w:keepNext/>
              <w:keepLines/>
              <w:overflowPunct w:val="0"/>
              <w:autoSpaceDE w:val="0"/>
              <w:autoSpaceDN w:val="0"/>
              <w:adjustRightInd w:val="0"/>
              <w:jc w:val="center"/>
              <w:textAlignment w:val="baseline"/>
              <w:rPr>
                <w:rFonts w:ascii="Arial" w:eastAsiaTheme="minorEastAsia" w:hAnsi="Arial" w:cs="Arial"/>
                <w:sz w:val="10"/>
                <w:szCs w:val="10"/>
              </w:rPr>
            </w:pPr>
            <w:r w:rsidRPr="00FC70D8">
              <w:rPr>
                <w:rFonts w:ascii="Arial" w:eastAsiaTheme="minorEastAsia" w:hAnsi="Arial" w:cs="Arial" w:hint="eastAsia"/>
                <w:sz w:val="10"/>
                <w:szCs w:val="10"/>
              </w:rPr>
              <w:t>46. NR_ENDC_RF_Ph4</w:t>
            </w:r>
          </w:p>
        </w:tc>
        <w:tc>
          <w:tcPr>
            <w:tcW w:w="506" w:type="dxa"/>
          </w:tcPr>
          <w:p w14:paraId="08AA3813" w14:textId="57F47FF4" w:rsidR="00B130C5" w:rsidRDefault="00B130C5" w:rsidP="00724753">
            <w:pPr>
              <w:keepNext/>
              <w:keepLines/>
              <w:overflowPunct w:val="0"/>
              <w:autoSpaceDE w:val="0"/>
              <w:autoSpaceDN w:val="0"/>
              <w:adjustRightInd w:val="0"/>
              <w:jc w:val="center"/>
              <w:textAlignment w:val="baseline"/>
              <w:rPr>
                <w:rFonts w:ascii="Arial" w:eastAsiaTheme="minorEastAsia" w:hAnsi="Arial" w:cs="Arial"/>
                <w:sz w:val="10"/>
                <w:szCs w:val="10"/>
              </w:rPr>
            </w:pPr>
            <w:r>
              <w:rPr>
                <w:rFonts w:ascii="Arial" w:eastAsiaTheme="minorEastAsia" w:hAnsi="Arial" w:cs="Arial"/>
                <w:sz w:val="10"/>
                <w:szCs w:val="10"/>
              </w:rPr>
              <w:t>46-4</w:t>
            </w:r>
          </w:p>
        </w:tc>
        <w:tc>
          <w:tcPr>
            <w:tcW w:w="802" w:type="dxa"/>
          </w:tcPr>
          <w:p w14:paraId="0535EE46" w14:textId="08459257" w:rsidR="00B130C5" w:rsidRDefault="00DB5698" w:rsidP="00724753">
            <w:pPr>
              <w:keepNext/>
              <w:keepLines/>
              <w:overflowPunct w:val="0"/>
              <w:autoSpaceDE w:val="0"/>
              <w:autoSpaceDN w:val="0"/>
              <w:adjustRightInd w:val="0"/>
              <w:jc w:val="center"/>
              <w:textAlignment w:val="baseline"/>
              <w:rPr>
                <w:rFonts w:ascii="Arial" w:eastAsiaTheme="minorEastAsia" w:hAnsi="Arial" w:cs="Arial"/>
                <w:sz w:val="10"/>
                <w:szCs w:val="10"/>
              </w:rPr>
            </w:pPr>
            <w:r>
              <w:rPr>
                <w:rFonts w:ascii="Arial" w:eastAsiaTheme="minorEastAsia" w:hAnsi="Arial" w:cs="Arial"/>
                <w:sz w:val="10"/>
                <w:szCs w:val="10"/>
              </w:rPr>
              <w:t xml:space="preserve">MPR enhancement for FR2 </w:t>
            </w:r>
            <w:r w:rsidRPr="00DB5698">
              <w:rPr>
                <w:rFonts w:ascii="Arial" w:eastAsiaTheme="minorEastAsia" w:hAnsi="Arial" w:cs="Arial"/>
                <w:sz w:val="10"/>
                <w:szCs w:val="10"/>
              </w:rPr>
              <w:t>intra-band CA based on CABW</w:t>
            </w:r>
          </w:p>
        </w:tc>
        <w:tc>
          <w:tcPr>
            <w:tcW w:w="1296" w:type="dxa"/>
          </w:tcPr>
          <w:p w14:paraId="01029DD8" w14:textId="3D4ED484" w:rsidR="00B130C5" w:rsidRDefault="002D38F4" w:rsidP="00724753">
            <w:pPr>
              <w:snapToGrid w:val="0"/>
              <w:spacing w:afterLines="50" w:after="120"/>
              <w:contextualSpacing/>
              <w:jc w:val="both"/>
              <w:rPr>
                <w:rFonts w:ascii="Arial" w:eastAsiaTheme="minorEastAsia" w:hAnsi="Arial" w:cs="Arial"/>
                <w:sz w:val="10"/>
                <w:szCs w:val="10"/>
              </w:rPr>
            </w:pPr>
            <w:r>
              <w:rPr>
                <w:rFonts w:ascii="Arial" w:eastAsiaTheme="minorEastAsia" w:hAnsi="Arial" w:cs="Arial"/>
                <w:sz w:val="10"/>
                <w:szCs w:val="10"/>
              </w:rPr>
              <w:t xml:space="preserve">Indicates support of  FR2 MPR improvement for </w:t>
            </w:r>
            <w:r w:rsidRPr="00DB5698">
              <w:rPr>
                <w:rFonts w:ascii="Arial" w:eastAsiaTheme="minorEastAsia" w:hAnsi="Arial" w:cs="Arial"/>
                <w:sz w:val="10"/>
                <w:szCs w:val="10"/>
              </w:rPr>
              <w:t>intra-band CA based on CABW</w:t>
            </w:r>
          </w:p>
        </w:tc>
        <w:tc>
          <w:tcPr>
            <w:tcW w:w="796" w:type="dxa"/>
          </w:tcPr>
          <w:p w14:paraId="5C6E139A" w14:textId="77777777" w:rsidR="00B130C5" w:rsidRPr="00FC70D8" w:rsidRDefault="00B130C5" w:rsidP="00724753">
            <w:pPr>
              <w:keepNext/>
              <w:keepLines/>
              <w:overflowPunct w:val="0"/>
              <w:autoSpaceDE w:val="0"/>
              <w:autoSpaceDN w:val="0"/>
              <w:adjustRightInd w:val="0"/>
              <w:jc w:val="center"/>
              <w:textAlignment w:val="baseline"/>
              <w:rPr>
                <w:rFonts w:ascii="Arial" w:hAnsi="Arial" w:cs="Arial"/>
                <w:b/>
                <w:sz w:val="10"/>
                <w:szCs w:val="10"/>
              </w:rPr>
            </w:pPr>
          </w:p>
        </w:tc>
        <w:tc>
          <w:tcPr>
            <w:tcW w:w="708" w:type="dxa"/>
          </w:tcPr>
          <w:p w14:paraId="05F2D444" w14:textId="5104D750" w:rsidR="00B130C5" w:rsidRDefault="000033E7" w:rsidP="00724753">
            <w:pPr>
              <w:keepNext/>
              <w:keepLines/>
              <w:overflowPunct w:val="0"/>
              <w:autoSpaceDE w:val="0"/>
              <w:autoSpaceDN w:val="0"/>
              <w:adjustRightInd w:val="0"/>
              <w:jc w:val="center"/>
              <w:textAlignment w:val="baseline"/>
              <w:rPr>
                <w:rFonts w:ascii="Arial" w:eastAsiaTheme="minorEastAsia" w:hAnsi="Arial" w:cs="Arial"/>
                <w:sz w:val="10"/>
                <w:szCs w:val="10"/>
              </w:rPr>
            </w:pPr>
            <w:r>
              <w:rPr>
                <w:rFonts w:ascii="Arial" w:eastAsiaTheme="minorEastAsia" w:hAnsi="Arial" w:cs="Arial"/>
                <w:sz w:val="10"/>
                <w:szCs w:val="10"/>
              </w:rPr>
              <w:t>Yes</w:t>
            </w:r>
          </w:p>
        </w:tc>
        <w:tc>
          <w:tcPr>
            <w:tcW w:w="723" w:type="dxa"/>
          </w:tcPr>
          <w:p w14:paraId="4FC5E10F" w14:textId="77777777" w:rsidR="00B130C5" w:rsidRPr="00FC70D8" w:rsidRDefault="00B130C5" w:rsidP="00724753">
            <w:pPr>
              <w:keepNext/>
              <w:keepLines/>
              <w:overflowPunct w:val="0"/>
              <w:autoSpaceDE w:val="0"/>
              <w:autoSpaceDN w:val="0"/>
              <w:adjustRightInd w:val="0"/>
              <w:jc w:val="center"/>
              <w:textAlignment w:val="baseline"/>
              <w:rPr>
                <w:rFonts w:ascii="Arial" w:eastAsia="Gulim" w:hAnsi="Arial" w:cs="Arial"/>
                <w:b/>
                <w:sz w:val="10"/>
                <w:szCs w:val="10"/>
              </w:rPr>
            </w:pPr>
          </w:p>
        </w:tc>
        <w:tc>
          <w:tcPr>
            <w:tcW w:w="874" w:type="dxa"/>
          </w:tcPr>
          <w:p w14:paraId="7557EAAA" w14:textId="5A5CC195" w:rsidR="00B130C5" w:rsidRPr="00FC70D8" w:rsidRDefault="0071290D" w:rsidP="00724753">
            <w:pPr>
              <w:keepNext/>
              <w:keepLines/>
              <w:rPr>
                <w:rFonts w:ascii="Arial" w:hAnsi="Arial" w:cs="Arial"/>
                <w:sz w:val="10"/>
                <w:szCs w:val="10"/>
                <w:lang w:eastAsia="en-GB"/>
              </w:rPr>
            </w:pPr>
            <w:r w:rsidRPr="00FC70D8">
              <w:rPr>
                <w:rFonts w:ascii="Arial" w:hAnsi="Arial" w:cs="Arial"/>
                <w:sz w:val="10"/>
                <w:szCs w:val="10"/>
                <w:lang w:eastAsia="en-GB"/>
              </w:rPr>
              <w:t>The feature cannot be supported</w:t>
            </w:r>
            <w:r>
              <w:rPr>
                <w:rFonts w:ascii="Arial" w:hAnsi="Arial" w:cs="Arial"/>
                <w:sz w:val="10"/>
                <w:szCs w:val="10"/>
                <w:lang w:eastAsia="en-GB"/>
              </w:rPr>
              <w:t xml:space="preserve"> and legacy requirements of FR2 </w:t>
            </w:r>
            <w:r>
              <w:rPr>
                <w:rFonts w:ascii="Arial" w:eastAsiaTheme="minorEastAsia" w:hAnsi="Arial" w:cs="Arial"/>
                <w:sz w:val="10"/>
                <w:szCs w:val="10"/>
              </w:rPr>
              <w:t xml:space="preserve">intra-band UL CA </w:t>
            </w:r>
            <w:r>
              <w:rPr>
                <w:rFonts w:ascii="Arial" w:hAnsi="Arial" w:cs="Arial"/>
                <w:sz w:val="10"/>
                <w:szCs w:val="10"/>
                <w:lang w:eastAsia="en-GB"/>
              </w:rPr>
              <w:t>apply.</w:t>
            </w:r>
          </w:p>
        </w:tc>
        <w:tc>
          <w:tcPr>
            <w:tcW w:w="784" w:type="dxa"/>
          </w:tcPr>
          <w:p w14:paraId="48D28361" w14:textId="443E2B2B" w:rsidR="00B130C5" w:rsidRDefault="00E0620F" w:rsidP="00724753">
            <w:pPr>
              <w:keepNext/>
              <w:keepLines/>
              <w:rPr>
                <w:rFonts w:ascii="Arial" w:eastAsiaTheme="minorEastAsia" w:hAnsi="Arial" w:cs="Arial"/>
                <w:sz w:val="10"/>
                <w:szCs w:val="10"/>
              </w:rPr>
            </w:pPr>
            <w:r>
              <w:rPr>
                <w:rFonts w:ascii="Arial" w:eastAsiaTheme="minorEastAsia" w:hAnsi="Arial" w:cs="Arial"/>
                <w:sz w:val="10"/>
                <w:szCs w:val="10"/>
              </w:rPr>
              <w:t>Per BC</w:t>
            </w:r>
          </w:p>
        </w:tc>
        <w:tc>
          <w:tcPr>
            <w:tcW w:w="886" w:type="dxa"/>
          </w:tcPr>
          <w:p w14:paraId="4F06F13C" w14:textId="26F99874" w:rsidR="00B130C5" w:rsidRDefault="00D94197" w:rsidP="00724753">
            <w:pPr>
              <w:keepNext/>
              <w:keepLines/>
              <w:overflowPunct w:val="0"/>
              <w:autoSpaceDE w:val="0"/>
              <w:autoSpaceDN w:val="0"/>
              <w:adjustRightInd w:val="0"/>
              <w:jc w:val="center"/>
              <w:textAlignment w:val="baseline"/>
              <w:rPr>
                <w:rFonts w:ascii="Arial" w:eastAsiaTheme="minorEastAsia" w:hAnsi="Arial" w:cs="Arial"/>
                <w:sz w:val="10"/>
                <w:szCs w:val="10"/>
              </w:rPr>
            </w:pPr>
            <w:r>
              <w:rPr>
                <w:rFonts w:ascii="Arial" w:eastAsiaTheme="minorEastAsia" w:hAnsi="Arial" w:cs="Arial"/>
                <w:sz w:val="10"/>
                <w:szCs w:val="10"/>
              </w:rPr>
              <w:t>No</w:t>
            </w:r>
          </w:p>
        </w:tc>
        <w:tc>
          <w:tcPr>
            <w:tcW w:w="802" w:type="dxa"/>
          </w:tcPr>
          <w:p w14:paraId="58617232" w14:textId="3D40E855" w:rsidR="00B130C5" w:rsidRDefault="00D94197" w:rsidP="00724753">
            <w:pPr>
              <w:keepNext/>
              <w:keepLines/>
              <w:overflowPunct w:val="0"/>
              <w:autoSpaceDE w:val="0"/>
              <w:autoSpaceDN w:val="0"/>
              <w:adjustRightInd w:val="0"/>
              <w:jc w:val="center"/>
              <w:textAlignment w:val="baseline"/>
              <w:rPr>
                <w:rFonts w:ascii="Arial" w:eastAsiaTheme="minorEastAsia" w:hAnsi="Arial" w:cs="Arial"/>
                <w:sz w:val="10"/>
                <w:szCs w:val="10"/>
              </w:rPr>
            </w:pPr>
            <w:r>
              <w:rPr>
                <w:rFonts w:ascii="Arial" w:eastAsiaTheme="minorEastAsia" w:hAnsi="Arial" w:cs="Arial"/>
                <w:sz w:val="10"/>
                <w:szCs w:val="10"/>
              </w:rPr>
              <w:t>FR2 only</w:t>
            </w:r>
          </w:p>
        </w:tc>
        <w:tc>
          <w:tcPr>
            <w:tcW w:w="567" w:type="dxa"/>
          </w:tcPr>
          <w:p w14:paraId="2D66DB7B" w14:textId="77777777" w:rsidR="00B130C5" w:rsidRPr="00FC70D8" w:rsidRDefault="00B130C5" w:rsidP="00724753">
            <w:pPr>
              <w:keepNext/>
              <w:keepLines/>
              <w:overflowPunct w:val="0"/>
              <w:autoSpaceDE w:val="0"/>
              <w:autoSpaceDN w:val="0"/>
              <w:adjustRightInd w:val="0"/>
              <w:jc w:val="center"/>
              <w:textAlignment w:val="baseline"/>
              <w:rPr>
                <w:rFonts w:ascii="Arial" w:hAnsi="Arial" w:cs="Arial"/>
                <w:b/>
                <w:sz w:val="10"/>
                <w:szCs w:val="10"/>
              </w:rPr>
            </w:pPr>
          </w:p>
        </w:tc>
        <w:tc>
          <w:tcPr>
            <w:tcW w:w="874" w:type="dxa"/>
          </w:tcPr>
          <w:p w14:paraId="5DFEC610" w14:textId="77777777" w:rsidR="00B130C5" w:rsidRPr="00367805" w:rsidRDefault="00B130C5" w:rsidP="00724753">
            <w:pPr>
              <w:keepNext/>
              <w:keepLines/>
              <w:overflowPunct w:val="0"/>
              <w:autoSpaceDE w:val="0"/>
              <w:autoSpaceDN w:val="0"/>
              <w:adjustRightInd w:val="0"/>
              <w:jc w:val="center"/>
              <w:textAlignment w:val="baseline"/>
              <w:rPr>
                <w:rFonts w:ascii="Arial" w:hAnsi="Arial" w:cs="Arial"/>
                <w:bCs/>
                <w:sz w:val="10"/>
                <w:szCs w:val="10"/>
                <w:lang w:val="en-US"/>
              </w:rPr>
            </w:pPr>
          </w:p>
        </w:tc>
        <w:tc>
          <w:tcPr>
            <w:tcW w:w="745" w:type="dxa"/>
          </w:tcPr>
          <w:p w14:paraId="12013F7D" w14:textId="2728F028" w:rsidR="00B130C5" w:rsidRPr="00FC70D8" w:rsidRDefault="00244236" w:rsidP="00724753">
            <w:pPr>
              <w:keepNext/>
              <w:keepLines/>
              <w:overflowPunct w:val="0"/>
              <w:autoSpaceDE w:val="0"/>
              <w:autoSpaceDN w:val="0"/>
              <w:adjustRightInd w:val="0"/>
              <w:jc w:val="center"/>
              <w:textAlignment w:val="baseline"/>
              <w:rPr>
                <w:rFonts w:ascii="Arial" w:hAnsi="Arial" w:cs="Arial"/>
                <w:sz w:val="10"/>
                <w:szCs w:val="10"/>
                <w:lang w:eastAsia="en-GB"/>
              </w:rPr>
            </w:pPr>
            <w:r w:rsidRPr="00FC70D8">
              <w:rPr>
                <w:rFonts w:ascii="Arial" w:hAnsi="Arial" w:cs="Arial"/>
                <w:sz w:val="10"/>
                <w:szCs w:val="10"/>
                <w:lang w:eastAsia="en-GB"/>
              </w:rPr>
              <w:t xml:space="preserve">Optional with capability </w:t>
            </w:r>
            <w:proofErr w:type="spellStart"/>
            <w:r w:rsidRPr="00FC70D8">
              <w:rPr>
                <w:rFonts w:ascii="Arial" w:hAnsi="Arial" w:cs="Arial"/>
                <w:sz w:val="10"/>
                <w:szCs w:val="10"/>
                <w:lang w:eastAsia="en-GB"/>
              </w:rPr>
              <w:t>signaling</w:t>
            </w:r>
            <w:proofErr w:type="spellEnd"/>
          </w:p>
        </w:tc>
      </w:tr>
      <w:tr w:rsidR="00E0620F" w:rsidRPr="00F218D2" w14:paraId="40CA32A5" w14:textId="77777777" w:rsidTr="00724753">
        <w:trPr>
          <w:trHeight w:val="20"/>
        </w:trPr>
        <w:tc>
          <w:tcPr>
            <w:tcW w:w="1123" w:type="dxa"/>
          </w:tcPr>
          <w:p w14:paraId="1B325921" w14:textId="1E049D67" w:rsidR="00E0620F" w:rsidRPr="00FC70D8" w:rsidRDefault="00E0620F" w:rsidP="00E0620F">
            <w:pPr>
              <w:keepNext/>
              <w:keepLines/>
              <w:overflowPunct w:val="0"/>
              <w:autoSpaceDE w:val="0"/>
              <w:autoSpaceDN w:val="0"/>
              <w:adjustRightInd w:val="0"/>
              <w:jc w:val="center"/>
              <w:textAlignment w:val="baseline"/>
              <w:rPr>
                <w:rFonts w:ascii="Arial" w:eastAsiaTheme="minorEastAsia" w:hAnsi="Arial" w:cs="Arial"/>
                <w:sz w:val="10"/>
                <w:szCs w:val="10"/>
              </w:rPr>
            </w:pPr>
            <w:r w:rsidRPr="00FC70D8">
              <w:rPr>
                <w:rFonts w:ascii="Arial" w:eastAsiaTheme="minorEastAsia" w:hAnsi="Arial" w:cs="Arial" w:hint="eastAsia"/>
                <w:sz w:val="10"/>
                <w:szCs w:val="10"/>
              </w:rPr>
              <w:t>46. NR_ENDC_RF_Ph4</w:t>
            </w:r>
          </w:p>
        </w:tc>
        <w:tc>
          <w:tcPr>
            <w:tcW w:w="506" w:type="dxa"/>
          </w:tcPr>
          <w:p w14:paraId="7591F78A" w14:textId="4F94EA7C" w:rsidR="00E0620F" w:rsidRDefault="00E0620F" w:rsidP="00E0620F">
            <w:pPr>
              <w:keepNext/>
              <w:keepLines/>
              <w:overflowPunct w:val="0"/>
              <w:autoSpaceDE w:val="0"/>
              <w:autoSpaceDN w:val="0"/>
              <w:adjustRightInd w:val="0"/>
              <w:jc w:val="center"/>
              <w:textAlignment w:val="baseline"/>
              <w:rPr>
                <w:rFonts w:ascii="Arial" w:eastAsiaTheme="minorEastAsia" w:hAnsi="Arial" w:cs="Arial"/>
                <w:sz w:val="10"/>
                <w:szCs w:val="10"/>
              </w:rPr>
            </w:pPr>
            <w:r>
              <w:rPr>
                <w:rFonts w:ascii="Arial" w:eastAsiaTheme="minorEastAsia" w:hAnsi="Arial" w:cs="Arial"/>
                <w:sz w:val="10"/>
                <w:szCs w:val="10"/>
              </w:rPr>
              <w:t>46-5</w:t>
            </w:r>
          </w:p>
        </w:tc>
        <w:tc>
          <w:tcPr>
            <w:tcW w:w="802" w:type="dxa"/>
          </w:tcPr>
          <w:p w14:paraId="7BD25DF1" w14:textId="0BEBDB53" w:rsidR="00E0620F" w:rsidRDefault="00E0620F" w:rsidP="00E0620F">
            <w:pPr>
              <w:keepNext/>
              <w:keepLines/>
              <w:overflowPunct w:val="0"/>
              <w:autoSpaceDE w:val="0"/>
              <w:autoSpaceDN w:val="0"/>
              <w:adjustRightInd w:val="0"/>
              <w:jc w:val="center"/>
              <w:textAlignment w:val="baseline"/>
              <w:rPr>
                <w:rFonts w:ascii="Arial" w:eastAsiaTheme="minorEastAsia" w:hAnsi="Arial" w:cs="Arial"/>
                <w:sz w:val="10"/>
                <w:szCs w:val="10"/>
              </w:rPr>
            </w:pPr>
            <w:r>
              <w:rPr>
                <w:rFonts w:ascii="Arial" w:eastAsiaTheme="minorEastAsia" w:hAnsi="Arial" w:cs="Arial"/>
                <w:sz w:val="10"/>
                <w:szCs w:val="10"/>
              </w:rPr>
              <w:t xml:space="preserve">MPR enhancement for FR2 </w:t>
            </w:r>
            <w:r w:rsidRPr="00DB5698">
              <w:rPr>
                <w:rFonts w:ascii="Arial" w:eastAsiaTheme="minorEastAsia" w:hAnsi="Arial" w:cs="Arial"/>
                <w:sz w:val="10"/>
                <w:szCs w:val="10"/>
              </w:rPr>
              <w:t xml:space="preserve">intra-band CA based on </w:t>
            </w:r>
            <w:r>
              <w:rPr>
                <w:rFonts w:ascii="Arial" w:eastAsiaTheme="minorEastAsia" w:hAnsi="Arial" w:cs="Arial"/>
                <w:sz w:val="10"/>
                <w:szCs w:val="10"/>
              </w:rPr>
              <w:t>activated carrier</w:t>
            </w:r>
          </w:p>
        </w:tc>
        <w:tc>
          <w:tcPr>
            <w:tcW w:w="1296" w:type="dxa"/>
          </w:tcPr>
          <w:p w14:paraId="506AEDA5" w14:textId="4AFAAF37" w:rsidR="00E0620F" w:rsidRDefault="00E0620F" w:rsidP="00E0620F">
            <w:pPr>
              <w:snapToGrid w:val="0"/>
              <w:spacing w:afterLines="50" w:after="120"/>
              <w:contextualSpacing/>
              <w:jc w:val="both"/>
              <w:rPr>
                <w:rFonts w:ascii="Arial" w:eastAsiaTheme="minorEastAsia" w:hAnsi="Arial" w:cs="Arial"/>
                <w:sz w:val="10"/>
                <w:szCs w:val="10"/>
              </w:rPr>
            </w:pPr>
            <w:r>
              <w:rPr>
                <w:rFonts w:ascii="Arial" w:eastAsiaTheme="minorEastAsia" w:hAnsi="Arial" w:cs="Arial"/>
                <w:sz w:val="10"/>
                <w:szCs w:val="10"/>
              </w:rPr>
              <w:t xml:space="preserve">Indicates support of  FR2 MPR improvement for </w:t>
            </w:r>
            <w:r w:rsidRPr="00DB5698">
              <w:rPr>
                <w:rFonts w:ascii="Arial" w:eastAsiaTheme="minorEastAsia" w:hAnsi="Arial" w:cs="Arial"/>
                <w:sz w:val="10"/>
                <w:szCs w:val="10"/>
              </w:rPr>
              <w:t xml:space="preserve">intra-band CA based on </w:t>
            </w:r>
            <w:r>
              <w:rPr>
                <w:rFonts w:ascii="Arial" w:eastAsiaTheme="minorEastAsia" w:hAnsi="Arial" w:cs="Arial"/>
                <w:sz w:val="10"/>
                <w:szCs w:val="10"/>
              </w:rPr>
              <w:t>activated carrier</w:t>
            </w:r>
          </w:p>
        </w:tc>
        <w:tc>
          <w:tcPr>
            <w:tcW w:w="796" w:type="dxa"/>
          </w:tcPr>
          <w:p w14:paraId="312BBFF7" w14:textId="77777777" w:rsidR="00E0620F" w:rsidRPr="00FC70D8" w:rsidRDefault="00E0620F" w:rsidP="00E0620F">
            <w:pPr>
              <w:keepNext/>
              <w:keepLines/>
              <w:overflowPunct w:val="0"/>
              <w:autoSpaceDE w:val="0"/>
              <w:autoSpaceDN w:val="0"/>
              <w:adjustRightInd w:val="0"/>
              <w:jc w:val="center"/>
              <w:textAlignment w:val="baseline"/>
              <w:rPr>
                <w:rFonts w:ascii="Arial" w:hAnsi="Arial" w:cs="Arial"/>
                <w:b/>
                <w:sz w:val="10"/>
                <w:szCs w:val="10"/>
              </w:rPr>
            </w:pPr>
          </w:p>
        </w:tc>
        <w:tc>
          <w:tcPr>
            <w:tcW w:w="708" w:type="dxa"/>
          </w:tcPr>
          <w:p w14:paraId="76702538" w14:textId="66029680" w:rsidR="00E0620F" w:rsidRDefault="00E0620F" w:rsidP="00E0620F">
            <w:pPr>
              <w:keepNext/>
              <w:keepLines/>
              <w:overflowPunct w:val="0"/>
              <w:autoSpaceDE w:val="0"/>
              <w:autoSpaceDN w:val="0"/>
              <w:adjustRightInd w:val="0"/>
              <w:jc w:val="center"/>
              <w:textAlignment w:val="baseline"/>
              <w:rPr>
                <w:rFonts w:ascii="Arial" w:eastAsiaTheme="minorEastAsia" w:hAnsi="Arial" w:cs="Arial"/>
                <w:sz w:val="10"/>
                <w:szCs w:val="10"/>
              </w:rPr>
            </w:pPr>
            <w:r>
              <w:rPr>
                <w:rFonts w:ascii="Arial" w:eastAsiaTheme="minorEastAsia" w:hAnsi="Arial" w:cs="Arial"/>
                <w:sz w:val="10"/>
                <w:szCs w:val="10"/>
              </w:rPr>
              <w:t>Yes</w:t>
            </w:r>
          </w:p>
        </w:tc>
        <w:tc>
          <w:tcPr>
            <w:tcW w:w="723" w:type="dxa"/>
          </w:tcPr>
          <w:p w14:paraId="4750C1EA" w14:textId="77777777" w:rsidR="00E0620F" w:rsidRPr="00FC70D8" w:rsidRDefault="00E0620F" w:rsidP="00E0620F">
            <w:pPr>
              <w:keepNext/>
              <w:keepLines/>
              <w:overflowPunct w:val="0"/>
              <w:autoSpaceDE w:val="0"/>
              <w:autoSpaceDN w:val="0"/>
              <w:adjustRightInd w:val="0"/>
              <w:jc w:val="center"/>
              <w:textAlignment w:val="baseline"/>
              <w:rPr>
                <w:rFonts w:ascii="Arial" w:eastAsia="Gulim" w:hAnsi="Arial" w:cs="Arial"/>
                <w:b/>
                <w:sz w:val="10"/>
                <w:szCs w:val="10"/>
              </w:rPr>
            </w:pPr>
          </w:p>
        </w:tc>
        <w:tc>
          <w:tcPr>
            <w:tcW w:w="874" w:type="dxa"/>
          </w:tcPr>
          <w:p w14:paraId="002C0F7E" w14:textId="337B47E6" w:rsidR="00E0620F" w:rsidRPr="00FC70D8" w:rsidRDefault="00E0620F" w:rsidP="00E0620F">
            <w:pPr>
              <w:keepNext/>
              <w:keepLines/>
              <w:rPr>
                <w:rFonts w:ascii="Arial" w:hAnsi="Arial" w:cs="Arial"/>
                <w:sz w:val="10"/>
                <w:szCs w:val="10"/>
                <w:lang w:eastAsia="en-GB"/>
              </w:rPr>
            </w:pPr>
            <w:r w:rsidRPr="00FC70D8">
              <w:rPr>
                <w:rFonts w:ascii="Arial" w:hAnsi="Arial" w:cs="Arial"/>
                <w:sz w:val="10"/>
                <w:szCs w:val="10"/>
                <w:lang w:eastAsia="en-GB"/>
              </w:rPr>
              <w:t xml:space="preserve">The feature cannot be </w:t>
            </w:r>
            <w:proofErr w:type="gramStart"/>
            <w:r w:rsidRPr="00FC70D8">
              <w:rPr>
                <w:rFonts w:ascii="Arial" w:hAnsi="Arial" w:cs="Arial"/>
                <w:sz w:val="10"/>
                <w:szCs w:val="10"/>
                <w:lang w:eastAsia="en-GB"/>
              </w:rPr>
              <w:t>supported</w:t>
            </w:r>
            <w:proofErr w:type="gramEnd"/>
            <w:r>
              <w:rPr>
                <w:rFonts w:ascii="Arial" w:hAnsi="Arial" w:cs="Arial"/>
                <w:sz w:val="10"/>
                <w:szCs w:val="10"/>
                <w:lang w:eastAsia="en-GB"/>
              </w:rPr>
              <w:t xml:space="preserve"> and legacy requirements of </w:t>
            </w:r>
            <w:r>
              <w:rPr>
                <w:rFonts w:ascii="Arial" w:eastAsiaTheme="minorEastAsia" w:hAnsi="Arial" w:cs="Arial"/>
                <w:sz w:val="10"/>
                <w:szCs w:val="10"/>
              </w:rPr>
              <w:t xml:space="preserve">intra-band UL CA </w:t>
            </w:r>
            <w:r>
              <w:rPr>
                <w:rFonts w:ascii="Arial" w:hAnsi="Arial" w:cs="Arial"/>
                <w:sz w:val="10"/>
                <w:szCs w:val="10"/>
                <w:lang w:eastAsia="en-GB"/>
              </w:rPr>
              <w:t>apply.</w:t>
            </w:r>
          </w:p>
        </w:tc>
        <w:tc>
          <w:tcPr>
            <w:tcW w:w="784" w:type="dxa"/>
          </w:tcPr>
          <w:p w14:paraId="355B1450" w14:textId="0ABB6DC6" w:rsidR="00E0620F" w:rsidRDefault="00E0620F" w:rsidP="00E0620F">
            <w:pPr>
              <w:keepNext/>
              <w:keepLines/>
              <w:rPr>
                <w:rFonts w:ascii="Arial" w:eastAsiaTheme="minorEastAsia" w:hAnsi="Arial" w:cs="Arial"/>
                <w:sz w:val="10"/>
                <w:szCs w:val="10"/>
              </w:rPr>
            </w:pPr>
            <w:r>
              <w:rPr>
                <w:rFonts w:ascii="Arial" w:eastAsiaTheme="minorEastAsia" w:hAnsi="Arial" w:cs="Arial"/>
                <w:sz w:val="10"/>
                <w:szCs w:val="10"/>
              </w:rPr>
              <w:t>Per BC</w:t>
            </w:r>
          </w:p>
        </w:tc>
        <w:tc>
          <w:tcPr>
            <w:tcW w:w="886" w:type="dxa"/>
          </w:tcPr>
          <w:p w14:paraId="02271C1B" w14:textId="365755EE" w:rsidR="00E0620F" w:rsidRDefault="00D94197" w:rsidP="00E0620F">
            <w:pPr>
              <w:keepNext/>
              <w:keepLines/>
              <w:overflowPunct w:val="0"/>
              <w:autoSpaceDE w:val="0"/>
              <w:autoSpaceDN w:val="0"/>
              <w:adjustRightInd w:val="0"/>
              <w:jc w:val="center"/>
              <w:textAlignment w:val="baseline"/>
              <w:rPr>
                <w:rFonts w:ascii="Arial" w:eastAsiaTheme="minorEastAsia" w:hAnsi="Arial" w:cs="Arial"/>
                <w:sz w:val="10"/>
                <w:szCs w:val="10"/>
              </w:rPr>
            </w:pPr>
            <w:r>
              <w:rPr>
                <w:rFonts w:ascii="Arial" w:eastAsiaTheme="minorEastAsia" w:hAnsi="Arial" w:cs="Arial"/>
                <w:sz w:val="10"/>
                <w:szCs w:val="10"/>
              </w:rPr>
              <w:t>No</w:t>
            </w:r>
          </w:p>
        </w:tc>
        <w:tc>
          <w:tcPr>
            <w:tcW w:w="802" w:type="dxa"/>
          </w:tcPr>
          <w:p w14:paraId="316DEDE8" w14:textId="70A636CE" w:rsidR="00E0620F" w:rsidRDefault="00D94197" w:rsidP="00E0620F">
            <w:pPr>
              <w:keepNext/>
              <w:keepLines/>
              <w:overflowPunct w:val="0"/>
              <w:autoSpaceDE w:val="0"/>
              <w:autoSpaceDN w:val="0"/>
              <w:adjustRightInd w:val="0"/>
              <w:jc w:val="center"/>
              <w:textAlignment w:val="baseline"/>
              <w:rPr>
                <w:rFonts w:ascii="Arial" w:eastAsiaTheme="minorEastAsia" w:hAnsi="Arial" w:cs="Arial"/>
                <w:sz w:val="10"/>
                <w:szCs w:val="10"/>
              </w:rPr>
            </w:pPr>
            <w:r>
              <w:rPr>
                <w:rFonts w:ascii="Arial" w:eastAsiaTheme="minorEastAsia" w:hAnsi="Arial" w:cs="Arial"/>
                <w:sz w:val="10"/>
                <w:szCs w:val="10"/>
              </w:rPr>
              <w:t>FR2 only</w:t>
            </w:r>
          </w:p>
        </w:tc>
        <w:tc>
          <w:tcPr>
            <w:tcW w:w="567" w:type="dxa"/>
          </w:tcPr>
          <w:p w14:paraId="614CBCAA" w14:textId="77777777" w:rsidR="00E0620F" w:rsidRPr="00FC70D8" w:rsidRDefault="00E0620F" w:rsidP="00E0620F">
            <w:pPr>
              <w:keepNext/>
              <w:keepLines/>
              <w:overflowPunct w:val="0"/>
              <w:autoSpaceDE w:val="0"/>
              <w:autoSpaceDN w:val="0"/>
              <w:adjustRightInd w:val="0"/>
              <w:jc w:val="center"/>
              <w:textAlignment w:val="baseline"/>
              <w:rPr>
                <w:rFonts w:ascii="Arial" w:hAnsi="Arial" w:cs="Arial"/>
                <w:b/>
                <w:sz w:val="10"/>
                <w:szCs w:val="10"/>
              </w:rPr>
            </w:pPr>
          </w:p>
        </w:tc>
        <w:tc>
          <w:tcPr>
            <w:tcW w:w="874" w:type="dxa"/>
          </w:tcPr>
          <w:p w14:paraId="57EEBF5E" w14:textId="77777777" w:rsidR="00E0620F" w:rsidRPr="00367805" w:rsidRDefault="00E0620F" w:rsidP="00E0620F">
            <w:pPr>
              <w:keepNext/>
              <w:keepLines/>
              <w:overflowPunct w:val="0"/>
              <w:autoSpaceDE w:val="0"/>
              <w:autoSpaceDN w:val="0"/>
              <w:adjustRightInd w:val="0"/>
              <w:jc w:val="center"/>
              <w:textAlignment w:val="baseline"/>
              <w:rPr>
                <w:rFonts w:ascii="Arial" w:hAnsi="Arial" w:cs="Arial"/>
                <w:bCs/>
                <w:sz w:val="10"/>
                <w:szCs w:val="10"/>
                <w:lang w:val="en-US"/>
              </w:rPr>
            </w:pPr>
          </w:p>
        </w:tc>
        <w:tc>
          <w:tcPr>
            <w:tcW w:w="745" w:type="dxa"/>
          </w:tcPr>
          <w:p w14:paraId="7D304B6B" w14:textId="44D3BC22" w:rsidR="00E0620F" w:rsidRPr="00FC70D8" w:rsidRDefault="00244236" w:rsidP="00E0620F">
            <w:pPr>
              <w:keepNext/>
              <w:keepLines/>
              <w:overflowPunct w:val="0"/>
              <w:autoSpaceDE w:val="0"/>
              <w:autoSpaceDN w:val="0"/>
              <w:adjustRightInd w:val="0"/>
              <w:jc w:val="center"/>
              <w:textAlignment w:val="baseline"/>
              <w:rPr>
                <w:rFonts w:ascii="Arial" w:hAnsi="Arial" w:cs="Arial"/>
                <w:sz w:val="10"/>
                <w:szCs w:val="10"/>
                <w:lang w:eastAsia="en-GB"/>
              </w:rPr>
            </w:pPr>
            <w:r w:rsidRPr="00FC70D8">
              <w:rPr>
                <w:rFonts w:ascii="Arial" w:hAnsi="Arial" w:cs="Arial"/>
                <w:sz w:val="10"/>
                <w:szCs w:val="10"/>
                <w:lang w:eastAsia="en-GB"/>
              </w:rPr>
              <w:t xml:space="preserve">Optional with capability </w:t>
            </w:r>
            <w:proofErr w:type="spellStart"/>
            <w:r w:rsidRPr="00FC70D8">
              <w:rPr>
                <w:rFonts w:ascii="Arial" w:hAnsi="Arial" w:cs="Arial"/>
                <w:sz w:val="10"/>
                <w:szCs w:val="10"/>
                <w:lang w:eastAsia="en-GB"/>
              </w:rPr>
              <w:t>signaling</w:t>
            </w:r>
            <w:proofErr w:type="spellEnd"/>
          </w:p>
        </w:tc>
      </w:tr>
    </w:tbl>
    <w:p w14:paraId="66E7BB8E" w14:textId="77777777" w:rsidR="00763D2F" w:rsidRDefault="00763D2F" w:rsidP="00763D2F"/>
    <w:p w14:paraId="42225AF2" w14:textId="0D8B8618" w:rsidR="00763D2F" w:rsidRDefault="00D718ED" w:rsidP="00763D2F">
      <w:r w:rsidRPr="00D718ED">
        <w:rPr>
          <w:b/>
          <w:bCs/>
        </w:rPr>
        <w:t>Proposal 2</w:t>
      </w:r>
      <w:r>
        <w:t xml:space="preserve">: </w:t>
      </w:r>
      <w:r w:rsidRPr="00D718ED">
        <w:rPr>
          <w:i/>
          <w:iCs/>
        </w:rPr>
        <w:t xml:space="preserve">Consider Table </w:t>
      </w:r>
      <w:r w:rsidR="000A0076">
        <w:rPr>
          <w:i/>
          <w:iCs/>
        </w:rPr>
        <w:t>2</w:t>
      </w:r>
      <w:r w:rsidRPr="00D718ED">
        <w:rPr>
          <w:i/>
          <w:iCs/>
        </w:rPr>
        <w:t xml:space="preserve"> when discussing the signalling for </w:t>
      </w:r>
      <w:r w:rsidRPr="00372FF2">
        <w:rPr>
          <w:i/>
          <w:iCs/>
        </w:rPr>
        <w:t>CBW extension-based MPR reduction</w:t>
      </w:r>
      <w:r w:rsidRPr="00D718ED">
        <w:rPr>
          <w:i/>
          <w:iCs/>
        </w:rPr>
        <w:t>.</w:t>
      </w:r>
    </w:p>
    <w:p w14:paraId="06E65302" w14:textId="77777777" w:rsidR="00763D2F" w:rsidRDefault="00763D2F" w:rsidP="00AD2DCE">
      <w:pPr>
        <w:jc w:val="both"/>
      </w:pPr>
    </w:p>
    <w:p w14:paraId="34C99636" w14:textId="553B2D88" w:rsidR="008E7986" w:rsidRDefault="00A84761" w:rsidP="008E7986">
      <w:pPr>
        <w:pStyle w:val="Heading1"/>
      </w:pPr>
      <w:r>
        <w:t>4</w:t>
      </w:r>
      <w:r w:rsidR="008E7986">
        <w:tab/>
        <w:t>Conclusions</w:t>
      </w:r>
    </w:p>
    <w:p w14:paraId="714557C6" w14:textId="153614ED" w:rsidR="00F73D52" w:rsidRDefault="00F73D52" w:rsidP="00F73D52">
      <w:r>
        <w:t>This contribution provides certain considerations to the discussion on the MPR reduction which his part of the power domain enhancement WID. The following observation</w:t>
      </w:r>
      <w:r w:rsidR="00C05FBC">
        <w:t>s</w:t>
      </w:r>
      <w:r w:rsidR="00E760AD">
        <w:t xml:space="preserve"> and proposals</w:t>
      </w:r>
      <w:r w:rsidR="00C05FBC">
        <w:t xml:space="preserve"> </w:t>
      </w:r>
      <w:r>
        <w:t>are made:</w:t>
      </w:r>
    </w:p>
    <w:p w14:paraId="56602299" w14:textId="5AF5CA54" w:rsidR="00E760AD" w:rsidRDefault="00E760AD" w:rsidP="00E760AD">
      <w:pPr>
        <w:jc w:val="both"/>
        <w:rPr>
          <w:i/>
          <w:iCs/>
        </w:rPr>
      </w:pPr>
      <w:r w:rsidRPr="00B972EE">
        <w:rPr>
          <w:b/>
          <w:bCs/>
        </w:rPr>
        <w:t>Observation:</w:t>
      </w:r>
      <w:r>
        <w:t xml:space="preserve"> </w:t>
      </w:r>
      <w:r w:rsidRPr="00B972EE">
        <w:rPr>
          <w:i/>
          <w:iCs/>
        </w:rPr>
        <w:t>In case of 5MHz channel the 0.5 single sided extension results into an extended bandwidth of 7.5MHz. There is nothing inherently wrong with that extension, but it might be preferable to limit the extension to 7MHz as it falls into the newly defined CBW. It would allow operators who have 7MHz spectrum available to deploy the extension if required.</w:t>
      </w:r>
      <w:r w:rsidR="00AF5130">
        <w:rPr>
          <w:i/>
          <w:iCs/>
        </w:rPr>
        <w:t xml:space="preserve"> </w:t>
      </w:r>
      <w:r w:rsidR="00AF5130">
        <w:t>Furthermore, there exist spectrum block sizes which are 7MHz wide and this tweak would allow to make use of the feature</w:t>
      </w:r>
      <w:r w:rsidR="00AF5130">
        <w:t>.</w:t>
      </w:r>
      <w:r w:rsidRPr="00B972EE">
        <w:rPr>
          <w:i/>
          <w:iCs/>
        </w:rPr>
        <w:t xml:space="preserve"> Similar decision could be made for the 0.25 extension. Instead of specifying single sided extension of 1.25MHz it might be limited to 1MHz so that the extended channel results into 6MHz which is highly requested channel size for Rel-20.</w:t>
      </w:r>
    </w:p>
    <w:p w14:paraId="411C24A5" w14:textId="77777777" w:rsidR="00E760AD" w:rsidRDefault="00E760AD" w:rsidP="00E760AD">
      <w:pPr>
        <w:jc w:val="both"/>
        <w:rPr>
          <w:i/>
          <w:iCs/>
        </w:rPr>
      </w:pPr>
      <w:r w:rsidRPr="00B972EE">
        <w:rPr>
          <w:b/>
          <w:bCs/>
        </w:rPr>
        <w:t>Proposal</w:t>
      </w:r>
      <w:r>
        <w:rPr>
          <w:b/>
          <w:bCs/>
        </w:rPr>
        <w:t xml:space="preserve"> 1</w:t>
      </w:r>
      <w:r w:rsidRPr="00B972EE">
        <w:rPr>
          <w:b/>
          <w:bCs/>
        </w:rPr>
        <w:t>:</w:t>
      </w:r>
      <w:r w:rsidRPr="00B972EE">
        <w:rPr>
          <w:i/>
          <w:iCs/>
        </w:rPr>
        <w:t xml:space="preserve"> For 5MHz channel bandwidth the extension should be differentiated between single-sided and double-sided</w:t>
      </w:r>
      <w:r>
        <w:rPr>
          <w:i/>
          <w:iCs/>
        </w:rPr>
        <w:t>. This would allow to define single-sided extension resulting into 6MHz and 7MHz.</w:t>
      </w:r>
    </w:p>
    <w:p w14:paraId="31B9D709" w14:textId="5B38FAF5" w:rsidR="00E760AD" w:rsidRPr="00B972EE" w:rsidRDefault="00E760AD" w:rsidP="00E760AD">
      <w:pPr>
        <w:jc w:val="both"/>
        <w:rPr>
          <w:b/>
          <w:bCs/>
        </w:rPr>
      </w:pPr>
      <w:r w:rsidRPr="00D718ED">
        <w:rPr>
          <w:b/>
          <w:bCs/>
        </w:rPr>
        <w:t>Proposal 2</w:t>
      </w:r>
      <w:r>
        <w:t xml:space="preserve">: </w:t>
      </w:r>
      <w:r w:rsidRPr="00D718ED">
        <w:rPr>
          <w:i/>
          <w:iCs/>
        </w:rPr>
        <w:t xml:space="preserve">Consider Table </w:t>
      </w:r>
      <w:r>
        <w:rPr>
          <w:i/>
          <w:iCs/>
        </w:rPr>
        <w:t>2</w:t>
      </w:r>
      <w:r w:rsidRPr="00D718ED">
        <w:rPr>
          <w:i/>
          <w:iCs/>
        </w:rPr>
        <w:t xml:space="preserve"> when discussing the signalling for </w:t>
      </w:r>
      <w:r w:rsidRPr="00372FF2">
        <w:rPr>
          <w:i/>
          <w:iCs/>
        </w:rPr>
        <w:t>CBW extension-based MPR reduction</w:t>
      </w:r>
      <w:r w:rsidRPr="00D718ED">
        <w:rPr>
          <w:i/>
          <w:iCs/>
        </w:rPr>
        <w:t>.</w:t>
      </w:r>
    </w:p>
    <w:p w14:paraId="65ED298E" w14:textId="77777777" w:rsidR="00E760AD" w:rsidRDefault="00E760AD" w:rsidP="00F73D52"/>
    <w:p w14:paraId="5D2DDC34" w14:textId="77777777" w:rsidR="005E69AE" w:rsidRDefault="005E69AE" w:rsidP="005E69AE">
      <w:pPr>
        <w:pStyle w:val="Heading1"/>
      </w:pPr>
      <w:r>
        <w:t>4</w:t>
      </w:r>
      <w:r>
        <w:tab/>
        <w:t>References</w:t>
      </w:r>
    </w:p>
    <w:bookmarkEnd w:id="0"/>
    <w:p w14:paraId="46030AF9" w14:textId="63336A97" w:rsidR="006F7CE5" w:rsidRPr="00CA2343" w:rsidRDefault="00874EF7" w:rsidP="008630CC">
      <w:pPr>
        <w:numPr>
          <w:ilvl w:val="0"/>
          <w:numId w:val="11"/>
        </w:numPr>
        <w:rPr>
          <w:b/>
          <w:lang w:val="en-US"/>
        </w:rPr>
      </w:pPr>
      <w:r w:rsidRPr="00874EF7">
        <w:t>RP-240828</w:t>
      </w:r>
      <w:r w:rsidR="007129D7">
        <w:t>,</w:t>
      </w:r>
      <w:r w:rsidR="007129D7" w:rsidRPr="007129D7">
        <w:t xml:space="preserve"> </w:t>
      </w:r>
      <w:r w:rsidR="007F3A2A" w:rsidRPr="006A57CF">
        <w:rPr>
          <w:lang w:val="en-US"/>
        </w:rPr>
        <w:t>“</w:t>
      </w:r>
      <w:r w:rsidRPr="00874EF7">
        <w:t>UE RF enhancements for NR FR1/FR2 and EN-DC, Phase 4</w:t>
      </w:r>
      <w:r w:rsidR="006A57CF" w:rsidRPr="006A57CF">
        <w:rPr>
          <w:lang w:val="en-US"/>
        </w:rPr>
        <w:t xml:space="preserve">”, </w:t>
      </w:r>
      <w:r w:rsidRPr="00874EF7">
        <w:rPr>
          <w:lang w:val="en-US"/>
        </w:rPr>
        <w:t>Huawei</w:t>
      </w:r>
      <w:r w:rsidR="00B13FDC" w:rsidRPr="006A57CF">
        <w:rPr>
          <w:lang w:val="en-US"/>
        </w:rPr>
        <w:t>,</w:t>
      </w:r>
      <w:r w:rsidR="007F3A2A" w:rsidRPr="006A57CF">
        <w:rPr>
          <w:lang w:val="en-US"/>
        </w:rPr>
        <w:t xml:space="preserve"> </w:t>
      </w:r>
      <w:r w:rsidR="006A57CF" w:rsidRPr="006A57CF">
        <w:rPr>
          <w:lang w:val="en-US"/>
        </w:rPr>
        <w:t>3GPP TSG RAN Meeting #103</w:t>
      </w:r>
    </w:p>
    <w:p w14:paraId="3799B57F" w14:textId="4F2726F1" w:rsidR="00CA2343" w:rsidRPr="00CA2343" w:rsidRDefault="00401174" w:rsidP="008630CC">
      <w:pPr>
        <w:numPr>
          <w:ilvl w:val="0"/>
          <w:numId w:val="11"/>
        </w:numPr>
        <w:rPr>
          <w:bCs/>
          <w:lang w:val="en-US"/>
        </w:rPr>
      </w:pPr>
      <w:r w:rsidRPr="00401174">
        <w:rPr>
          <w:bCs/>
          <w:lang w:val="en-US"/>
        </w:rPr>
        <w:t>R4-2507930</w:t>
      </w:r>
      <w:r w:rsidR="00CA2343">
        <w:rPr>
          <w:bCs/>
          <w:lang w:val="en-US"/>
        </w:rPr>
        <w:t>, “</w:t>
      </w:r>
      <w:r w:rsidR="00CA2343" w:rsidRPr="00CA2343">
        <w:rPr>
          <w:bCs/>
        </w:rPr>
        <w:t>WF on Power domain enhancement</w:t>
      </w:r>
      <w:r w:rsidR="00CA2343">
        <w:rPr>
          <w:bCs/>
          <w:lang w:val="en-US"/>
        </w:rPr>
        <w:t xml:space="preserve">”, </w:t>
      </w:r>
      <w:r w:rsidR="00CA2343" w:rsidRPr="00CA2343">
        <w:rPr>
          <w:bCs/>
        </w:rPr>
        <w:t xml:space="preserve">Huawei, </w:t>
      </w:r>
      <w:proofErr w:type="spellStart"/>
      <w:r w:rsidR="00CA2343" w:rsidRPr="00CA2343">
        <w:rPr>
          <w:bCs/>
        </w:rPr>
        <w:t>HiSilicon</w:t>
      </w:r>
      <w:proofErr w:type="spellEnd"/>
      <w:r w:rsidR="00CA2343">
        <w:rPr>
          <w:bCs/>
        </w:rPr>
        <w:t xml:space="preserve">, </w:t>
      </w:r>
      <w:r w:rsidR="00CA2343" w:rsidRPr="00CA2343">
        <w:rPr>
          <w:bCs/>
        </w:rPr>
        <w:t>3GPP TSG-RAN WG4 Meeting #11</w:t>
      </w:r>
      <w:r>
        <w:rPr>
          <w:bCs/>
        </w:rPr>
        <w:t>5</w:t>
      </w:r>
      <w:r w:rsidR="00CA2343" w:rsidRPr="00CA2343">
        <w:rPr>
          <w:bCs/>
        </w:rPr>
        <w:t xml:space="preserve">      </w:t>
      </w:r>
    </w:p>
    <w:p w14:paraId="268EFB3C" w14:textId="1A35678C" w:rsidR="00513F73" w:rsidRDefault="00513F73" w:rsidP="008630CC">
      <w:pPr>
        <w:numPr>
          <w:ilvl w:val="0"/>
          <w:numId w:val="11"/>
        </w:numPr>
        <w:rPr>
          <w:bCs/>
          <w:lang w:val="en-US"/>
        </w:rPr>
      </w:pPr>
      <w:r w:rsidRPr="00513F73">
        <w:rPr>
          <w:bCs/>
          <w:lang w:val="en-US"/>
        </w:rPr>
        <w:t>R4-2418170</w:t>
      </w:r>
      <w:r>
        <w:rPr>
          <w:bCs/>
          <w:lang w:val="en-US"/>
        </w:rPr>
        <w:t>, “</w:t>
      </w:r>
      <w:r w:rsidRPr="00513F73">
        <w:rPr>
          <w:bCs/>
          <w:lang w:val="en-US"/>
        </w:rPr>
        <w:t>Discussion on UE RF power enhancement for NR single carrier</w:t>
      </w:r>
      <w:r>
        <w:rPr>
          <w:bCs/>
          <w:lang w:val="en-US"/>
        </w:rPr>
        <w:t xml:space="preserve">”, vivo, </w:t>
      </w:r>
      <w:r w:rsidRPr="00513F73">
        <w:rPr>
          <w:bCs/>
          <w:lang w:val="en-US"/>
        </w:rPr>
        <w:t>3GPP TSG-RAN4 Meeting #113</w:t>
      </w:r>
      <w:r>
        <w:rPr>
          <w:bCs/>
          <w:lang w:val="en-US"/>
        </w:rPr>
        <w:t xml:space="preserve"> </w:t>
      </w:r>
    </w:p>
    <w:p w14:paraId="21F9D74F" w14:textId="77777777" w:rsidR="005E69AE" w:rsidRPr="007F3A2A" w:rsidRDefault="005E69AE" w:rsidP="005E69AE">
      <w:pPr>
        <w:rPr>
          <w:lang w:val="en-US"/>
        </w:rPr>
      </w:pPr>
    </w:p>
    <w:sectPr w:rsidR="005E69AE" w:rsidRPr="007F3A2A" w:rsidSect="00EC1EEF">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803EB" w14:textId="77777777" w:rsidR="00574F3D" w:rsidRDefault="00574F3D">
      <w:r>
        <w:separator/>
      </w:r>
    </w:p>
  </w:endnote>
  <w:endnote w:type="continuationSeparator" w:id="0">
    <w:p w14:paraId="0512DD1E" w14:textId="77777777" w:rsidR="00574F3D" w:rsidRDefault="00574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39F88" w14:textId="77777777" w:rsidR="00574F3D" w:rsidRDefault="00574F3D">
      <w:r>
        <w:separator/>
      </w:r>
    </w:p>
  </w:footnote>
  <w:footnote w:type="continuationSeparator" w:id="0">
    <w:p w14:paraId="0160B72D" w14:textId="77777777" w:rsidR="00574F3D" w:rsidRDefault="00574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D04E6"/>
    <w:multiLevelType w:val="hybridMultilevel"/>
    <w:tmpl w:val="61E6429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00" w:hanging="36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E85984"/>
    <w:multiLevelType w:val="hybridMultilevel"/>
    <w:tmpl w:val="C28277F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42574EE"/>
    <w:multiLevelType w:val="hybridMultilevel"/>
    <w:tmpl w:val="0182143A"/>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00" w:hanging="36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DB37860"/>
    <w:multiLevelType w:val="hybridMultilevel"/>
    <w:tmpl w:val="9B302D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F1265EA"/>
    <w:multiLevelType w:val="hybridMultilevel"/>
    <w:tmpl w:val="3576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A26D07"/>
    <w:multiLevelType w:val="hybridMultilevel"/>
    <w:tmpl w:val="C3AAC7C8"/>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8"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2"/>
  </w:num>
  <w:num w:numId="4" w16cid:durableId="314527765">
    <w:abstractNumId w:val="21"/>
  </w:num>
  <w:num w:numId="5" w16cid:durableId="636910375">
    <w:abstractNumId w:val="3"/>
  </w:num>
  <w:num w:numId="6" w16cid:durableId="628702817">
    <w:abstractNumId w:val="3"/>
  </w:num>
  <w:num w:numId="7" w16cid:durableId="822425343">
    <w:abstractNumId w:val="13"/>
  </w:num>
  <w:num w:numId="8" w16cid:durableId="858004916">
    <w:abstractNumId w:val="7"/>
  </w:num>
  <w:num w:numId="9" w16cid:durableId="686558600">
    <w:abstractNumId w:val="4"/>
  </w:num>
  <w:num w:numId="10" w16cid:durableId="777027033">
    <w:abstractNumId w:val="10"/>
  </w:num>
  <w:num w:numId="11" w16cid:durableId="899704539">
    <w:abstractNumId w:val="20"/>
  </w:num>
  <w:num w:numId="12" w16cid:durableId="980811830">
    <w:abstractNumId w:val="22"/>
  </w:num>
  <w:num w:numId="13" w16cid:durableId="529956578">
    <w:abstractNumId w:val="17"/>
  </w:num>
  <w:num w:numId="14" w16cid:durableId="1744718227">
    <w:abstractNumId w:val="16"/>
  </w:num>
  <w:num w:numId="15" w16cid:durableId="1131510691">
    <w:abstractNumId w:val="12"/>
  </w:num>
  <w:num w:numId="16" w16cid:durableId="500437673">
    <w:abstractNumId w:val="6"/>
  </w:num>
  <w:num w:numId="17" w16cid:durableId="1458336715">
    <w:abstractNumId w:val="18"/>
  </w:num>
  <w:num w:numId="18" w16cid:durableId="577711409">
    <w:abstractNumId w:val="19"/>
  </w:num>
  <w:num w:numId="19" w16cid:durableId="1152403646">
    <w:abstractNumId w:val="9"/>
  </w:num>
  <w:num w:numId="20" w16cid:durableId="1593008818">
    <w:abstractNumId w:val="5"/>
  </w:num>
  <w:num w:numId="21" w16cid:durableId="803498696">
    <w:abstractNumId w:val="14"/>
  </w:num>
  <w:num w:numId="22" w16cid:durableId="746466014">
    <w:abstractNumId w:val="1"/>
  </w:num>
  <w:num w:numId="23" w16cid:durableId="300355244">
    <w:abstractNumId w:val="8"/>
  </w:num>
  <w:num w:numId="24" w16cid:durableId="1084912852">
    <w:abstractNumId w:val="15"/>
  </w:num>
  <w:num w:numId="25" w16cid:durableId="14265398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D"/>
    <w:rsid w:val="000018ED"/>
    <w:rsid w:val="000033E7"/>
    <w:rsid w:val="000034CC"/>
    <w:rsid w:val="00003A34"/>
    <w:rsid w:val="0000424C"/>
    <w:rsid w:val="00005D34"/>
    <w:rsid w:val="00006AA3"/>
    <w:rsid w:val="0001091A"/>
    <w:rsid w:val="0001187A"/>
    <w:rsid w:val="0001219B"/>
    <w:rsid w:val="00013D2D"/>
    <w:rsid w:val="00014EB2"/>
    <w:rsid w:val="00015CF0"/>
    <w:rsid w:val="0001722D"/>
    <w:rsid w:val="000248F1"/>
    <w:rsid w:val="00025392"/>
    <w:rsid w:val="00025443"/>
    <w:rsid w:val="000308D9"/>
    <w:rsid w:val="00032EDA"/>
    <w:rsid w:val="00033397"/>
    <w:rsid w:val="0003447A"/>
    <w:rsid w:val="0003451F"/>
    <w:rsid w:val="00035BDF"/>
    <w:rsid w:val="0003655C"/>
    <w:rsid w:val="00036F6A"/>
    <w:rsid w:val="00037665"/>
    <w:rsid w:val="00037CC5"/>
    <w:rsid w:val="00037D9E"/>
    <w:rsid w:val="00040095"/>
    <w:rsid w:val="00040394"/>
    <w:rsid w:val="0004110C"/>
    <w:rsid w:val="00041E49"/>
    <w:rsid w:val="00042D3F"/>
    <w:rsid w:val="00044FB6"/>
    <w:rsid w:val="00045441"/>
    <w:rsid w:val="0004646E"/>
    <w:rsid w:val="00051834"/>
    <w:rsid w:val="00052794"/>
    <w:rsid w:val="00053959"/>
    <w:rsid w:val="00053FA3"/>
    <w:rsid w:val="00054A22"/>
    <w:rsid w:val="00054E52"/>
    <w:rsid w:val="00054F1F"/>
    <w:rsid w:val="00056B4F"/>
    <w:rsid w:val="00060296"/>
    <w:rsid w:val="00060A4F"/>
    <w:rsid w:val="00061623"/>
    <w:rsid w:val="00061661"/>
    <w:rsid w:val="00062023"/>
    <w:rsid w:val="0006232C"/>
    <w:rsid w:val="000626F5"/>
    <w:rsid w:val="00062A6F"/>
    <w:rsid w:val="0006526C"/>
    <w:rsid w:val="000655A6"/>
    <w:rsid w:val="00066E88"/>
    <w:rsid w:val="0006708C"/>
    <w:rsid w:val="00072004"/>
    <w:rsid w:val="0007402B"/>
    <w:rsid w:val="00076A34"/>
    <w:rsid w:val="00076E49"/>
    <w:rsid w:val="00076E7B"/>
    <w:rsid w:val="00080512"/>
    <w:rsid w:val="000818FF"/>
    <w:rsid w:val="00081A31"/>
    <w:rsid w:val="00081A6D"/>
    <w:rsid w:val="000820DC"/>
    <w:rsid w:val="00082D55"/>
    <w:rsid w:val="000836FC"/>
    <w:rsid w:val="00083FB3"/>
    <w:rsid w:val="0008504A"/>
    <w:rsid w:val="0008654D"/>
    <w:rsid w:val="00086865"/>
    <w:rsid w:val="00086A4C"/>
    <w:rsid w:val="000872A6"/>
    <w:rsid w:val="000916EC"/>
    <w:rsid w:val="000921EA"/>
    <w:rsid w:val="0009253A"/>
    <w:rsid w:val="00093704"/>
    <w:rsid w:val="00094735"/>
    <w:rsid w:val="00094B44"/>
    <w:rsid w:val="00094D5E"/>
    <w:rsid w:val="00096179"/>
    <w:rsid w:val="00096C65"/>
    <w:rsid w:val="000A0076"/>
    <w:rsid w:val="000A0151"/>
    <w:rsid w:val="000A21A2"/>
    <w:rsid w:val="000A28A1"/>
    <w:rsid w:val="000A365D"/>
    <w:rsid w:val="000A47E4"/>
    <w:rsid w:val="000A530C"/>
    <w:rsid w:val="000A68F3"/>
    <w:rsid w:val="000B0AFE"/>
    <w:rsid w:val="000B3682"/>
    <w:rsid w:val="000B6541"/>
    <w:rsid w:val="000B7959"/>
    <w:rsid w:val="000C05BE"/>
    <w:rsid w:val="000C0D1B"/>
    <w:rsid w:val="000C1193"/>
    <w:rsid w:val="000C2203"/>
    <w:rsid w:val="000C4381"/>
    <w:rsid w:val="000C47C3"/>
    <w:rsid w:val="000D2A2D"/>
    <w:rsid w:val="000D58AB"/>
    <w:rsid w:val="000D59BE"/>
    <w:rsid w:val="000D640F"/>
    <w:rsid w:val="000E039B"/>
    <w:rsid w:val="000E1251"/>
    <w:rsid w:val="000E3065"/>
    <w:rsid w:val="000E4A3E"/>
    <w:rsid w:val="000E4DB7"/>
    <w:rsid w:val="000E584B"/>
    <w:rsid w:val="000E5DB4"/>
    <w:rsid w:val="000E7E3F"/>
    <w:rsid w:val="000E7F84"/>
    <w:rsid w:val="000F073C"/>
    <w:rsid w:val="000F322E"/>
    <w:rsid w:val="000F3E24"/>
    <w:rsid w:val="000F50EC"/>
    <w:rsid w:val="000F5E6F"/>
    <w:rsid w:val="000F67B1"/>
    <w:rsid w:val="000F7834"/>
    <w:rsid w:val="00100B3C"/>
    <w:rsid w:val="0010140A"/>
    <w:rsid w:val="001014EA"/>
    <w:rsid w:val="0010173C"/>
    <w:rsid w:val="00101A1B"/>
    <w:rsid w:val="001030EE"/>
    <w:rsid w:val="001032BC"/>
    <w:rsid w:val="00104BC6"/>
    <w:rsid w:val="001064E7"/>
    <w:rsid w:val="001073F6"/>
    <w:rsid w:val="00107FB2"/>
    <w:rsid w:val="001112A7"/>
    <w:rsid w:val="00112BCB"/>
    <w:rsid w:val="00114254"/>
    <w:rsid w:val="00114E2C"/>
    <w:rsid w:val="0012031A"/>
    <w:rsid w:val="0012118D"/>
    <w:rsid w:val="0012407D"/>
    <w:rsid w:val="0012493E"/>
    <w:rsid w:val="00124998"/>
    <w:rsid w:val="00126CA6"/>
    <w:rsid w:val="001301DD"/>
    <w:rsid w:val="00131A96"/>
    <w:rsid w:val="00132BFB"/>
    <w:rsid w:val="00133525"/>
    <w:rsid w:val="00133795"/>
    <w:rsid w:val="00136368"/>
    <w:rsid w:val="00136383"/>
    <w:rsid w:val="001375F4"/>
    <w:rsid w:val="00140B8D"/>
    <w:rsid w:val="00141367"/>
    <w:rsid w:val="00141DDF"/>
    <w:rsid w:val="00145755"/>
    <w:rsid w:val="00146221"/>
    <w:rsid w:val="00151898"/>
    <w:rsid w:val="00151DA2"/>
    <w:rsid w:val="00152929"/>
    <w:rsid w:val="00152973"/>
    <w:rsid w:val="00152EEA"/>
    <w:rsid w:val="001542D7"/>
    <w:rsid w:val="00154F45"/>
    <w:rsid w:val="00155F71"/>
    <w:rsid w:val="00156A01"/>
    <w:rsid w:val="001570AC"/>
    <w:rsid w:val="0015753C"/>
    <w:rsid w:val="0016170A"/>
    <w:rsid w:val="00161A9C"/>
    <w:rsid w:val="00164651"/>
    <w:rsid w:val="00166A1F"/>
    <w:rsid w:val="00167169"/>
    <w:rsid w:val="001700D4"/>
    <w:rsid w:val="00172A7E"/>
    <w:rsid w:val="00173B76"/>
    <w:rsid w:val="00173B8B"/>
    <w:rsid w:val="00174887"/>
    <w:rsid w:val="00176C55"/>
    <w:rsid w:val="00176E29"/>
    <w:rsid w:val="00177BF7"/>
    <w:rsid w:val="00181C7F"/>
    <w:rsid w:val="001825E3"/>
    <w:rsid w:val="001827A9"/>
    <w:rsid w:val="00183DAE"/>
    <w:rsid w:val="00185B14"/>
    <w:rsid w:val="00190B1E"/>
    <w:rsid w:val="00193E3A"/>
    <w:rsid w:val="001940D3"/>
    <w:rsid w:val="0019624E"/>
    <w:rsid w:val="00197FDE"/>
    <w:rsid w:val="001A1AA4"/>
    <w:rsid w:val="001A2ED2"/>
    <w:rsid w:val="001A397E"/>
    <w:rsid w:val="001A39E7"/>
    <w:rsid w:val="001A3E60"/>
    <w:rsid w:val="001A4C42"/>
    <w:rsid w:val="001A4E68"/>
    <w:rsid w:val="001A5253"/>
    <w:rsid w:val="001A6573"/>
    <w:rsid w:val="001A714D"/>
    <w:rsid w:val="001B07FD"/>
    <w:rsid w:val="001B29A1"/>
    <w:rsid w:val="001B3434"/>
    <w:rsid w:val="001B4209"/>
    <w:rsid w:val="001B5963"/>
    <w:rsid w:val="001B5B90"/>
    <w:rsid w:val="001B5BE8"/>
    <w:rsid w:val="001B67CA"/>
    <w:rsid w:val="001B7445"/>
    <w:rsid w:val="001C21C3"/>
    <w:rsid w:val="001C2FEA"/>
    <w:rsid w:val="001C4310"/>
    <w:rsid w:val="001C4A7D"/>
    <w:rsid w:val="001C5748"/>
    <w:rsid w:val="001C7B1F"/>
    <w:rsid w:val="001D02C2"/>
    <w:rsid w:val="001D0318"/>
    <w:rsid w:val="001D03D7"/>
    <w:rsid w:val="001D4F4E"/>
    <w:rsid w:val="001D5598"/>
    <w:rsid w:val="001D7B34"/>
    <w:rsid w:val="001D7DBE"/>
    <w:rsid w:val="001E0E8A"/>
    <w:rsid w:val="001E1C80"/>
    <w:rsid w:val="001E70D1"/>
    <w:rsid w:val="001F0C1D"/>
    <w:rsid w:val="001F1132"/>
    <w:rsid w:val="001F168B"/>
    <w:rsid w:val="001F1D6F"/>
    <w:rsid w:val="001F1E66"/>
    <w:rsid w:val="001F29BA"/>
    <w:rsid w:val="001F29BF"/>
    <w:rsid w:val="001F2DBE"/>
    <w:rsid w:val="001F2DE3"/>
    <w:rsid w:val="001F5F92"/>
    <w:rsid w:val="001F6D59"/>
    <w:rsid w:val="001F7AB5"/>
    <w:rsid w:val="001F7F82"/>
    <w:rsid w:val="00200328"/>
    <w:rsid w:val="00201F17"/>
    <w:rsid w:val="00203118"/>
    <w:rsid w:val="00203852"/>
    <w:rsid w:val="00203A7B"/>
    <w:rsid w:val="00203BDC"/>
    <w:rsid w:val="00203F71"/>
    <w:rsid w:val="0020602D"/>
    <w:rsid w:val="00210E41"/>
    <w:rsid w:val="0021230D"/>
    <w:rsid w:val="002124DC"/>
    <w:rsid w:val="0021467A"/>
    <w:rsid w:val="00215574"/>
    <w:rsid w:val="002166B1"/>
    <w:rsid w:val="00216AF7"/>
    <w:rsid w:val="0021742C"/>
    <w:rsid w:val="00217640"/>
    <w:rsid w:val="00217FBC"/>
    <w:rsid w:val="00223D79"/>
    <w:rsid w:val="00227393"/>
    <w:rsid w:val="002330E2"/>
    <w:rsid w:val="00233415"/>
    <w:rsid w:val="002334C4"/>
    <w:rsid w:val="002347A2"/>
    <w:rsid w:val="00236DF1"/>
    <w:rsid w:val="00236FDB"/>
    <w:rsid w:val="002402D7"/>
    <w:rsid w:val="00243987"/>
    <w:rsid w:val="00244236"/>
    <w:rsid w:val="00244BFC"/>
    <w:rsid w:val="00245DBF"/>
    <w:rsid w:val="002469F9"/>
    <w:rsid w:val="00247926"/>
    <w:rsid w:val="0025004B"/>
    <w:rsid w:val="00251005"/>
    <w:rsid w:val="00251B42"/>
    <w:rsid w:val="002520AD"/>
    <w:rsid w:val="00253596"/>
    <w:rsid w:val="002545D3"/>
    <w:rsid w:val="002547BE"/>
    <w:rsid w:val="00256451"/>
    <w:rsid w:val="00257476"/>
    <w:rsid w:val="0025766C"/>
    <w:rsid w:val="0025770D"/>
    <w:rsid w:val="0026127A"/>
    <w:rsid w:val="00261AE0"/>
    <w:rsid w:val="0026254E"/>
    <w:rsid w:val="00262F9B"/>
    <w:rsid w:val="002632E8"/>
    <w:rsid w:val="00263C74"/>
    <w:rsid w:val="0026414D"/>
    <w:rsid w:val="0026644B"/>
    <w:rsid w:val="00266B7E"/>
    <w:rsid w:val="002675F0"/>
    <w:rsid w:val="00271ADF"/>
    <w:rsid w:val="00274755"/>
    <w:rsid w:val="00276EE4"/>
    <w:rsid w:val="00277730"/>
    <w:rsid w:val="002809CF"/>
    <w:rsid w:val="00281AE2"/>
    <w:rsid w:val="00281EA9"/>
    <w:rsid w:val="0028330D"/>
    <w:rsid w:val="00284063"/>
    <w:rsid w:val="002846C0"/>
    <w:rsid w:val="00287F31"/>
    <w:rsid w:val="00294E54"/>
    <w:rsid w:val="002A0775"/>
    <w:rsid w:val="002A380C"/>
    <w:rsid w:val="002A464A"/>
    <w:rsid w:val="002A769C"/>
    <w:rsid w:val="002A76AD"/>
    <w:rsid w:val="002A79F8"/>
    <w:rsid w:val="002B1D7E"/>
    <w:rsid w:val="002B2691"/>
    <w:rsid w:val="002B381C"/>
    <w:rsid w:val="002B38DE"/>
    <w:rsid w:val="002B479C"/>
    <w:rsid w:val="002B6339"/>
    <w:rsid w:val="002B6DF9"/>
    <w:rsid w:val="002C0B40"/>
    <w:rsid w:val="002C275A"/>
    <w:rsid w:val="002C6B80"/>
    <w:rsid w:val="002C7B3F"/>
    <w:rsid w:val="002C7E35"/>
    <w:rsid w:val="002D1CA2"/>
    <w:rsid w:val="002D293F"/>
    <w:rsid w:val="002D2E22"/>
    <w:rsid w:val="002D38F4"/>
    <w:rsid w:val="002D3BC5"/>
    <w:rsid w:val="002D43EC"/>
    <w:rsid w:val="002D6E04"/>
    <w:rsid w:val="002E00EE"/>
    <w:rsid w:val="002E07CC"/>
    <w:rsid w:val="002E174C"/>
    <w:rsid w:val="002E17F5"/>
    <w:rsid w:val="002E20A0"/>
    <w:rsid w:val="002E3343"/>
    <w:rsid w:val="002E4080"/>
    <w:rsid w:val="002E4411"/>
    <w:rsid w:val="002E4450"/>
    <w:rsid w:val="002E5B4B"/>
    <w:rsid w:val="002E65BE"/>
    <w:rsid w:val="002E76E8"/>
    <w:rsid w:val="002F259A"/>
    <w:rsid w:val="002F29B8"/>
    <w:rsid w:val="002F2EC3"/>
    <w:rsid w:val="002F3A0F"/>
    <w:rsid w:val="002F3FB7"/>
    <w:rsid w:val="002F4E94"/>
    <w:rsid w:val="002F6F2B"/>
    <w:rsid w:val="002F7647"/>
    <w:rsid w:val="003008B8"/>
    <w:rsid w:val="00300B0C"/>
    <w:rsid w:val="00301456"/>
    <w:rsid w:val="00302057"/>
    <w:rsid w:val="00302805"/>
    <w:rsid w:val="003037A3"/>
    <w:rsid w:val="00305920"/>
    <w:rsid w:val="003077A8"/>
    <w:rsid w:val="00310145"/>
    <w:rsid w:val="00312F6E"/>
    <w:rsid w:val="0031302C"/>
    <w:rsid w:val="003138B0"/>
    <w:rsid w:val="003172DC"/>
    <w:rsid w:val="00320180"/>
    <w:rsid w:val="00320B59"/>
    <w:rsid w:val="00323B17"/>
    <w:rsid w:val="00325A8C"/>
    <w:rsid w:val="00326999"/>
    <w:rsid w:val="00331CC5"/>
    <w:rsid w:val="003337C9"/>
    <w:rsid w:val="00333B69"/>
    <w:rsid w:val="003349E3"/>
    <w:rsid w:val="00335059"/>
    <w:rsid w:val="00335226"/>
    <w:rsid w:val="00335709"/>
    <w:rsid w:val="00336051"/>
    <w:rsid w:val="003378AE"/>
    <w:rsid w:val="00340356"/>
    <w:rsid w:val="0034052F"/>
    <w:rsid w:val="0034176B"/>
    <w:rsid w:val="00343454"/>
    <w:rsid w:val="00344F4A"/>
    <w:rsid w:val="00345D23"/>
    <w:rsid w:val="00345FCF"/>
    <w:rsid w:val="00346C0D"/>
    <w:rsid w:val="00347C11"/>
    <w:rsid w:val="00347C9E"/>
    <w:rsid w:val="0035377B"/>
    <w:rsid w:val="00354344"/>
    <w:rsid w:val="0035462D"/>
    <w:rsid w:val="003549AE"/>
    <w:rsid w:val="0035788E"/>
    <w:rsid w:val="00360AA9"/>
    <w:rsid w:val="00361509"/>
    <w:rsid w:val="00361696"/>
    <w:rsid w:val="0036261B"/>
    <w:rsid w:val="00362E86"/>
    <w:rsid w:val="00363F03"/>
    <w:rsid w:val="00364998"/>
    <w:rsid w:val="003653A3"/>
    <w:rsid w:val="00366EFA"/>
    <w:rsid w:val="00367805"/>
    <w:rsid w:val="003678A3"/>
    <w:rsid w:val="00370CD8"/>
    <w:rsid w:val="00370CD9"/>
    <w:rsid w:val="00372FF2"/>
    <w:rsid w:val="0037344E"/>
    <w:rsid w:val="00375529"/>
    <w:rsid w:val="0037554F"/>
    <w:rsid w:val="003765B8"/>
    <w:rsid w:val="00380D4D"/>
    <w:rsid w:val="00382880"/>
    <w:rsid w:val="00383106"/>
    <w:rsid w:val="00387382"/>
    <w:rsid w:val="00387858"/>
    <w:rsid w:val="003909CA"/>
    <w:rsid w:val="00393EA5"/>
    <w:rsid w:val="003961F3"/>
    <w:rsid w:val="003A0483"/>
    <w:rsid w:val="003A18C7"/>
    <w:rsid w:val="003A2CE9"/>
    <w:rsid w:val="003A3886"/>
    <w:rsid w:val="003A3A25"/>
    <w:rsid w:val="003A42DA"/>
    <w:rsid w:val="003A47F0"/>
    <w:rsid w:val="003A5B91"/>
    <w:rsid w:val="003A7DAF"/>
    <w:rsid w:val="003B076D"/>
    <w:rsid w:val="003B109E"/>
    <w:rsid w:val="003B14C7"/>
    <w:rsid w:val="003B2FB3"/>
    <w:rsid w:val="003B3719"/>
    <w:rsid w:val="003B474E"/>
    <w:rsid w:val="003B4A2F"/>
    <w:rsid w:val="003C00A0"/>
    <w:rsid w:val="003C0A91"/>
    <w:rsid w:val="003C241C"/>
    <w:rsid w:val="003C3971"/>
    <w:rsid w:val="003C458E"/>
    <w:rsid w:val="003C5715"/>
    <w:rsid w:val="003D1111"/>
    <w:rsid w:val="003D1307"/>
    <w:rsid w:val="003D30AF"/>
    <w:rsid w:val="003D487F"/>
    <w:rsid w:val="003D55A8"/>
    <w:rsid w:val="003D566C"/>
    <w:rsid w:val="003D649C"/>
    <w:rsid w:val="003D713C"/>
    <w:rsid w:val="003D7EE1"/>
    <w:rsid w:val="003D7EFE"/>
    <w:rsid w:val="003E0648"/>
    <w:rsid w:val="003E09CE"/>
    <w:rsid w:val="003E0B48"/>
    <w:rsid w:val="003E0D43"/>
    <w:rsid w:val="003E1664"/>
    <w:rsid w:val="003E1C53"/>
    <w:rsid w:val="003E1D4D"/>
    <w:rsid w:val="003E390C"/>
    <w:rsid w:val="003E5149"/>
    <w:rsid w:val="003E7753"/>
    <w:rsid w:val="003E7B11"/>
    <w:rsid w:val="003F0AB3"/>
    <w:rsid w:val="003F1DE9"/>
    <w:rsid w:val="003F71F9"/>
    <w:rsid w:val="00400AFA"/>
    <w:rsid w:val="00401174"/>
    <w:rsid w:val="00402454"/>
    <w:rsid w:val="00402B48"/>
    <w:rsid w:val="00404DEA"/>
    <w:rsid w:val="004050EA"/>
    <w:rsid w:val="0040752C"/>
    <w:rsid w:val="004078DB"/>
    <w:rsid w:val="00407C75"/>
    <w:rsid w:val="00410A62"/>
    <w:rsid w:val="00410C74"/>
    <w:rsid w:val="00411322"/>
    <w:rsid w:val="0041163C"/>
    <w:rsid w:val="004116EB"/>
    <w:rsid w:val="004129AA"/>
    <w:rsid w:val="00414FEE"/>
    <w:rsid w:val="004177EB"/>
    <w:rsid w:val="004211DC"/>
    <w:rsid w:val="00423334"/>
    <w:rsid w:val="0042380F"/>
    <w:rsid w:val="00424339"/>
    <w:rsid w:val="00430D10"/>
    <w:rsid w:val="00431DA9"/>
    <w:rsid w:val="004339D2"/>
    <w:rsid w:val="00434540"/>
    <w:rsid w:val="004345EC"/>
    <w:rsid w:val="0043541E"/>
    <w:rsid w:val="00436019"/>
    <w:rsid w:val="00436B9E"/>
    <w:rsid w:val="004401CB"/>
    <w:rsid w:val="00440C35"/>
    <w:rsid w:val="00443B1F"/>
    <w:rsid w:val="004473AE"/>
    <w:rsid w:val="004508D2"/>
    <w:rsid w:val="004509C1"/>
    <w:rsid w:val="00450B2E"/>
    <w:rsid w:val="00452052"/>
    <w:rsid w:val="00452229"/>
    <w:rsid w:val="00453077"/>
    <w:rsid w:val="004534E4"/>
    <w:rsid w:val="00453C17"/>
    <w:rsid w:val="00453CB9"/>
    <w:rsid w:val="00454592"/>
    <w:rsid w:val="00454742"/>
    <w:rsid w:val="004556E0"/>
    <w:rsid w:val="00456483"/>
    <w:rsid w:val="004566D3"/>
    <w:rsid w:val="00456950"/>
    <w:rsid w:val="00457561"/>
    <w:rsid w:val="00460045"/>
    <w:rsid w:val="00461B95"/>
    <w:rsid w:val="004634D0"/>
    <w:rsid w:val="004640F5"/>
    <w:rsid w:val="00465596"/>
    <w:rsid w:val="004661C2"/>
    <w:rsid w:val="0047076F"/>
    <w:rsid w:val="00470ED6"/>
    <w:rsid w:val="00471049"/>
    <w:rsid w:val="00471735"/>
    <w:rsid w:val="00473B6B"/>
    <w:rsid w:val="00474CF0"/>
    <w:rsid w:val="00475181"/>
    <w:rsid w:val="004758E7"/>
    <w:rsid w:val="004759F3"/>
    <w:rsid w:val="0048171C"/>
    <w:rsid w:val="004826A9"/>
    <w:rsid w:val="00482883"/>
    <w:rsid w:val="00482B02"/>
    <w:rsid w:val="004837BD"/>
    <w:rsid w:val="00484657"/>
    <w:rsid w:val="00484CDE"/>
    <w:rsid w:val="00485640"/>
    <w:rsid w:val="004878F5"/>
    <w:rsid w:val="00491BD5"/>
    <w:rsid w:val="00493104"/>
    <w:rsid w:val="00496011"/>
    <w:rsid w:val="00496ACE"/>
    <w:rsid w:val="0049720D"/>
    <w:rsid w:val="004A0895"/>
    <w:rsid w:val="004A0BE5"/>
    <w:rsid w:val="004A14E4"/>
    <w:rsid w:val="004A22C7"/>
    <w:rsid w:val="004A3213"/>
    <w:rsid w:val="004A3715"/>
    <w:rsid w:val="004A4662"/>
    <w:rsid w:val="004A4E57"/>
    <w:rsid w:val="004A51B1"/>
    <w:rsid w:val="004B0BA7"/>
    <w:rsid w:val="004B0DDB"/>
    <w:rsid w:val="004B19F2"/>
    <w:rsid w:val="004B2762"/>
    <w:rsid w:val="004B2FA7"/>
    <w:rsid w:val="004B3078"/>
    <w:rsid w:val="004B4025"/>
    <w:rsid w:val="004B64D7"/>
    <w:rsid w:val="004B6798"/>
    <w:rsid w:val="004B7D41"/>
    <w:rsid w:val="004C120D"/>
    <w:rsid w:val="004C1601"/>
    <w:rsid w:val="004C306C"/>
    <w:rsid w:val="004C3099"/>
    <w:rsid w:val="004C3B4F"/>
    <w:rsid w:val="004C4EA0"/>
    <w:rsid w:val="004C64B8"/>
    <w:rsid w:val="004C6B20"/>
    <w:rsid w:val="004C7368"/>
    <w:rsid w:val="004C73F1"/>
    <w:rsid w:val="004C778A"/>
    <w:rsid w:val="004C7A6F"/>
    <w:rsid w:val="004C7B37"/>
    <w:rsid w:val="004C7FA6"/>
    <w:rsid w:val="004D2A3A"/>
    <w:rsid w:val="004D3578"/>
    <w:rsid w:val="004D4338"/>
    <w:rsid w:val="004D469F"/>
    <w:rsid w:val="004D546E"/>
    <w:rsid w:val="004D5847"/>
    <w:rsid w:val="004D640B"/>
    <w:rsid w:val="004D640E"/>
    <w:rsid w:val="004E0B72"/>
    <w:rsid w:val="004E0F18"/>
    <w:rsid w:val="004E17C7"/>
    <w:rsid w:val="004E213A"/>
    <w:rsid w:val="004E2654"/>
    <w:rsid w:val="004E2D77"/>
    <w:rsid w:val="004E39F9"/>
    <w:rsid w:val="004E3D20"/>
    <w:rsid w:val="004E430C"/>
    <w:rsid w:val="004E4647"/>
    <w:rsid w:val="004E54EF"/>
    <w:rsid w:val="004E6ABC"/>
    <w:rsid w:val="004E7053"/>
    <w:rsid w:val="004E7807"/>
    <w:rsid w:val="004E7C55"/>
    <w:rsid w:val="004E7FD6"/>
    <w:rsid w:val="004F070D"/>
    <w:rsid w:val="004F0988"/>
    <w:rsid w:val="004F1AE3"/>
    <w:rsid w:val="004F1BD6"/>
    <w:rsid w:val="004F29F1"/>
    <w:rsid w:val="004F31CD"/>
    <w:rsid w:val="004F3340"/>
    <w:rsid w:val="004F3E3D"/>
    <w:rsid w:val="004F6EC2"/>
    <w:rsid w:val="00500402"/>
    <w:rsid w:val="005013A1"/>
    <w:rsid w:val="00501F9D"/>
    <w:rsid w:val="00502B2C"/>
    <w:rsid w:val="00502B99"/>
    <w:rsid w:val="005061B8"/>
    <w:rsid w:val="00506817"/>
    <w:rsid w:val="0050716B"/>
    <w:rsid w:val="00507927"/>
    <w:rsid w:val="00507938"/>
    <w:rsid w:val="00507A2A"/>
    <w:rsid w:val="00511DAF"/>
    <w:rsid w:val="0051257F"/>
    <w:rsid w:val="00513F73"/>
    <w:rsid w:val="005149D9"/>
    <w:rsid w:val="00515717"/>
    <w:rsid w:val="0051617C"/>
    <w:rsid w:val="00521A4C"/>
    <w:rsid w:val="0052392A"/>
    <w:rsid w:val="005240A9"/>
    <w:rsid w:val="00526610"/>
    <w:rsid w:val="00527F8B"/>
    <w:rsid w:val="0053243A"/>
    <w:rsid w:val="005330CF"/>
    <w:rsid w:val="0053388B"/>
    <w:rsid w:val="005345D1"/>
    <w:rsid w:val="00534653"/>
    <w:rsid w:val="00534986"/>
    <w:rsid w:val="00535773"/>
    <w:rsid w:val="0053790B"/>
    <w:rsid w:val="00537BFA"/>
    <w:rsid w:val="00540005"/>
    <w:rsid w:val="00540ADB"/>
    <w:rsid w:val="00542CF7"/>
    <w:rsid w:val="00543B5C"/>
    <w:rsid w:val="00543E6C"/>
    <w:rsid w:val="00551E8E"/>
    <w:rsid w:val="0055241B"/>
    <w:rsid w:val="00553FE8"/>
    <w:rsid w:val="00554FE1"/>
    <w:rsid w:val="00555723"/>
    <w:rsid w:val="00556339"/>
    <w:rsid w:val="00557112"/>
    <w:rsid w:val="005571AD"/>
    <w:rsid w:val="00560943"/>
    <w:rsid w:val="00562F8F"/>
    <w:rsid w:val="005630CF"/>
    <w:rsid w:val="005636C1"/>
    <w:rsid w:val="005641AF"/>
    <w:rsid w:val="00564A23"/>
    <w:rsid w:val="00565087"/>
    <w:rsid w:val="0056537F"/>
    <w:rsid w:val="00566134"/>
    <w:rsid w:val="00570ED1"/>
    <w:rsid w:val="0057261C"/>
    <w:rsid w:val="00572E14"/>
    <w:rsid w:val="005742FD"/>
    <w:rsid w:val="005743C8"/>
    <w:rsid w:val="00574C84"/>
    <w:rsid w:val="00574F3D"/>
    <w:rsid w:val="005767C4"/>
    <w:rsid w:val="00580C3D"/>
    <w:rsid w:val="005819E3"/>
    <w:rsid w:val="005837C8"/>
    <w:rsid w:val="00583CE7"/>
    <w:rsid w:val="005849BC"/>
    <w:rsid w:val="00585C45"/>
    <w:rsid w:val="005861FD"/>
    <w:rsid w:val="00587158"/>
    <w:rsid w:val="005909D3"/>
    <w:rsid w:val="00592B9E"/>
    <w:rsid w:val="00593F8E"/>
    <w:rsid w:val="00594CBD"/>
    <w:rsid w:val="0059615C"/>
    <w:rsid w:val="005966A3"/>
    <w:rsid w:val="00596EDD"/>
    <w:rsid w:val="005973BE"/>
    <w:rsid w:val="005A151E"/>
    <w:rsid w:val="005A1D66"/>
    <w:rsid w:val="005A3590"/>
    <w:rsid w:val="005A3620"/>
    <w:rsid w:val="005A407F"/>
    <w:rsid w:val="005A4164"/>
    <w:rsid w:val="005A5986"/>
    <w:rsid w:val="005A5D1C"/>
    <w:rsid w:val="005A7F03"/>
    <w:rsid w:val="005B1FF6"/>
    <w:rsid w:val="005B2222"/>
    <w:rsid w:val="005B4F01"/>
    <w:rsid w:val="005B74FE"/>
    <w:rsid w:val="005B772C"/>
    <w:rsid w:val="005B7E48"/>
    <w:rsid w:val="005C0650"/>
    <w:rsid w:val="005C24B2"/>
    <w:rsid w:val="005C2C8B"/>
    <w:rsid w:val="005C3CA9"/>
    <w:rsid w:val="005C4CCC"/>
    <w:rsid w:val="005C5712"/>
    <w:rsid w:val="005C5D09"/>
    <w:rsid w:val="005C5EAF"/>
    <w:rsid w:val="005C6B74"/>
    <w:rsid w:val="005D0294"/>
    <w:rsid w:val="005D09FD"/>
    <w:rsid w:val="005D168A"/>
    <w:rsid w:val="005D2E01"/>
    <w:rsid w:val="005D5AE3"/>
    <w:rsid w:val="005D5F93"/>
    <w:rsid w:val="005D6E3E"/>
    <w:rsid w:val="005D740A"/>
    <w:rsid w:val="005D7526"/>
    <w:rsid w:val="005E0188"/>
    <w:rsid w:val="005E088B"/>
    <w:rsid w:val="005E1B49"/>
    <w:rsid w:val="005E3BD9"/>
    <w:rsid w:val="005E6173"/>
    <w:rsid w:val="005E69AE"/>
    <w:rsid w:val="005E7301"/>
    <w:rsid w:val="005E7E9A"/>
    <w:rsid w:val="005F024B"/>
    <w:rsid w:val="005F1C1B"/>
    <w:rsid w:val="005F3817"/>
    <w:rsid w:val="005F4D09"/>
    <w:rsid w:val="005F4E02"/>
    <w:rsid w:val="005F6F36"/>
    <w:rsid w:val="00601153"/>
    <w:rsid w:val="00602AEA"/>
    <w:rsid w:val="00604E03"/>
    <w:rsid w:val="00605F62"/>
    <w:rsid w:val="00606F5E"/>
    <w:rsid w:val="00607527"/>
    <w:rsid w:val="00607E3C"/>
    <w:rsid w:val="00610107"/>
    <w:rsid w:val="0061105A"/>
    <w:rsid w:val="0061146F"/>
    <w:rsid w:val="00612392"/>
    <w:rsid w:val="006124C9"/>
    <w:rsid w:val="0061273C"/>
    <w:rsid w:val="00613B1E"/>
    <w:rsid w:val="00614157"/>
    <w:rsid w:val="00614FDF"/>
    <w:rsid w:val="00615943"/>
    <w:rsid w:val="00616B92"/>
    <w:rsid w:val="00620B0F"/>
    <w:rsid w:val="006212AD"/>
    <w:rsid w:val="00623226"/>
    <w:rsid w:val="006243F0"/>
    <w:rsid w:val="006246A7"/>
    <w:rsid w:val="006249B7"/>
    <w:rsid w:val="00624A1C"/>
    <w:rsid w:val="00625131"/>
    <w:rsid w:val="0062595A"/>
    <w:rsid w:val="00626866"/>
    <w:rsid w:val="00627EB9"/>
    <w:rsid w:val="00630132"/>
    <w:rsid w:val="00631A7C"/>
    <w:rsid w:val="00634F57"/>
    <w:rsid w:val="00635081"/>
    <w:rsid w:val="0063543D"/>
    <w:rsid w:val="006364C9"/>
    <w:rsid w:val="00641140"/>
    <w:rsid w:val="006418FD"/>
    <w:rsid w:val="00642CCD"/>
    <w:rsid w:val="006432CB"/>
    <w:rsid w:val="006442DF"/>
    <w:rsid w:val="00645891"/>
    <w:rsid w:val="00647114"/>
    <w:rsid w:val="00647548"/>
    <w:rsid w:val="006507C5"/>
    <w:rsid w:val="006509AD"/>
    <w:rsid w:val="006514BA"/>
    <w:rsid w:val="0065271E"/>
    <w:rsid w:val="00655109"/>
    <w:rsid w:val="0065577E"/>
    <w:rsid w:val="00655938"/>
    <w:rsid w:val="00655AF6"/>
    <w:rsid w:val="00657AC7"/>
    <w:rsid w:val="00660959"/>
    <w:rsid w:val="0066115B"/>
    <w:rsid w:val="00661381"/>
    <w:rsid w:val="006615E4"/>
    <w:rsid w:val="006621C7"/>
    <w:rsid w:val="00662988"/>
    <w:rsid w:val="00664C8F"/>
    <w:rsid w:val="006670A9"/>
    <w:rsid w:val="00667679"/>
    <w:rsid w:val="00667A34"/>
    <w:rsid w:val="00672206"/>
    <w:rsid w:val="0067581D"/>
    <w:rsid w:val="0067591F"/>
    <w:rsid w:val="00675F8A"/>
    <w:rsid w:val="00677A82"/>
    <w:rsid w:val="00677B76"/>
    <w:rsid w:val="00677BD4"/>
    <w:rsid w:val="00680420"/>
    <w:rsid w:val="00681446"/>
    <w:rsid w:val="00685600"/>
    <w:rsid w:val="00692E14"/>
    <w:rsid w:val="006974B3"/>
    <w:rsid w:val="006A12BB"/>
    <w:rsid w:val="006A17C7"/>
    <w:rsid w:val="006A1D88"/>
    <w:rsid w:val="006A2D0C"/>
    <w:rsid w:val="006A323F"/>
    <w:rsid w:val="006A53BF"/>
    <w:rsid w:val="006A57CF"/>
    <w:rsid w:val="006A66EB"/>
    <w:rsid w:val="006B00F7"/>
    <w:rsid w:val="006B1856"/>
    <w:rsid w:val="006B30D0"/>
    <w:rsid w:val="006B3A0D"/>
    <w:rsid w:val="006B41D6"/>
    <w:rsid w:val="006B518D"/>
    <w:rsid w:val="006B5BC1"/>
    <w:rsid w:val="006C196E"/>
    <w:rsid w:val="006C2010"/>
    <w:rsid w:val="006C29A3"/>
    <w:rsid w:val="006C3270"/>
    <w:rsid w:val="006C379C"/>
    <w:rsid w:val="006C3B46"/>
    <w:rsid w:val="006C3D95"/>
    <w:rsid w:val="006C3E96"/>
    <w:rsid w:val="006C4B9C"/>
    <w:rsid w:val="006C53FC"/>
    <w:rsid w:val="006C7B00"/>
    <w:rsid w:val="006D0467"/>
    <w:rsid w:val="006D1A4F"/>
    <w:rsid w:val="006D296B"/>
    <w:rsid w:val="006D4E1B"/>
    <w:rsid w:val="006D56CF"/>
    <w:rsid w:val="006D586D"/>
    <w:rsid w:val="006D753A"/>
    <w:rsid w:val="006D77D7"/>
    <w:rsid w:val="006D7AFF"/>
    <w:rsid w:val="006E1313"/>
    <w:rsid w:val="006E1889"/>
    <w:rsid w:val="006E4D05"/>
    <w:rsid w:val="006E5AD6"/>
    <w:rsid w:val="006E5C86"/>
    <w:rsid w:val="006F12BA"/>
    <w:rsid w:val="006F1FC9"/>
    <w:rsid w:val="006F5C77"/>
    <w:rsid w:val="006F682D"/>
    <w:rsid w:val="006F6BC7"/>
    <w:rsid w:val="006F7652"/>
    <w:rsid w:val="006F796C"/>
    <w:rsid w:val="006F7CE5"/>
    <w:rsid w:val="00701229"/>
    <w:rsid w:val="00702000"/>
    <w:rsid w:val="007023DC"/>
    <w:rsid w:val="0070498B"/>
    <w:rsid w:val="00706613"/>
    <w:rsid w:val="00706649"/>
    <w:rsid w:val="00706773"/>
    <w:rsid w:val="007072BE"/>
    <w:rsid w:val="00707B8B"/>
    <w:rsid w:val="0071290D"/>
    <w:rsid w:val="007129D7"/>
    <w:rsid w:val="00713BCD"/>
    <w:rsid w:val="00713C44"/>
    <w:rsid w:val="00713CF4"/>
    <w:rsid w:val="0071576F"/>
    <w:rsid w:val="00715888"/>
    <w:rsid w:val="00715C43"/>
    <w:rsid w:val="00717F80"/>
    <w:rsid w:val="00720790"/>
    <w:rsid w:val="00721B14"/>
    <w:rsid w:val="00722F4B"/>
    <w:rsid w:val="00723101"/>
    <w:rsid w:val="007237B7"/>
    <w:rsid w:val="00723AB5"/>
    <w:rsid w:val="00724089"/>
    <w:rsid w:val="00726FD4"/>
    <w:rsid w:val="0072781C"/>
    <w:rsid w:val="00730E94"/>
    <w:rsid w:val="00730ED4"/>
    <w:rsid w:val="00731010"/>
    <w:rsid w:val="00731C33"/>
    <w:rsid w:val="00731E89"/>
    <w:rsid w:val="007320C1"/>
    <w:rsid w:val="00734206"/>
    <w:rsid w:val="00734A5B"/>
    <w:rsid w:val="0074026F"/>
    <w:rsid w:val="00740399"/>
    <w:rsid w:val="00740934"/>
    <w:rsid w:val="00742130"/>
    <w:rsid w:val="0074235C"/>
    <w:rsid w:val="007429F6"/>
    <w:rsid w:val="00743F80"/>
    <w:rsid w:val="0074463D"/>
    <w:rsid w:val="00744E76"/>
    <w:rsid w:val="0074525F"/>
    <w:rsid w:val="007465EE"/>
    <w:rsid w:val="00746BB0"/>
    <w:rsid w:val="00747BD5"/>
    <w:rsid w:val="00750CC1"/>
    <w:rsid w:val="00752198"/>
    <w:rsid w:val="00753881"/>
    <w:rsid w:val="00755394"/>
    <w:rsid w:val="00755E78"/>
    <w:rsid w:val="00756C8C"/>
    <w:rsid w:val="00761D68"/>
    <w:rsid w:val="007637C4"/>
    <w:rsid w:val="00763D2F"/>
    <w:rsid w:val="007660BB"/>
    <w:rsid w:val="00767531"/>
    <w:rsid w:val="007711D7"/>
    <w:rsid w:val="00771280"/>
    <w:rsid w:val="00771457"/>
    <w:rsid w:val="00771A1A"/>
    <w:rsid w:val="00771EAC"/>
    <w:rsid w:val="00774DA4"/>
    <w:rsid w:val="00777203"/>
    <w:rsid w:val="00781264"/>
    <w:rsid w:val="00781F0F"/>
    <w:rsid w:val="00785B75"/>
    <w:rsid w:val="00786B1E"/>
    <w:rsid w:val="00786C91"/>
    <w:rsid w:val="00792460"/>
    <w:rsid w:val="00792C7A"/>
    <w:rsid w:val="0079785A"/>
    <w:rsid w:val="007A0D0C"/>
    <w:rsid w:val="007A1134"/>
    <w:rsid w:val="007A11A7"/>
    <w:rsid w:val="007A299C"/>
    <w:rsid w:val="007A3268"/>
    <w:rsid w:val="007A33CD"/>
    <w:rsid w:val="007A345D"/>
    <w:rsid w:val="007A491F"/>
    <w:rsid w:val="007A4C28"/>
    <w:rsid w:val="007A636A"/>
    <w:rsid w:val="007B0687"/>
    <w:rsid w:val="007B083C"/>
    <w:rsid w:val="007B1A02"/>
    <w:rsid w:val="007B1A23"/>
    <w:rsid w:val="007B39ED"/>
    <w:rsid w:val="007B600E"/>
    <w:rsid w:val="007B6FD1"/>
    <w:rsid w:val="007C2217"/>
    <w:rsid w:val="007C228D"/>
    <w:rsid w:val="007C491A"/>
    <w:rsid w:val="007C4B30"/>
    <w:rsid w:val="007C5B26"/>
    <w:rsid w:val="007C692F"/>
    <w:rsid w:val="007C7952"/>
    <w:rsid w:val="007D069E"/>
    <w:rsid w:val="007D122C"/>
    <w:rsid w:val="007D18C3"/>
    <w:rsid w:val="007D2E3A"/>
    <w:rsid w:val="007D34C1"/>
    <w:rsid w:val="007D3B38"/>
    <w:rsid w:val="007D49C9"/>
    <w:rsid w:val="007D59B2"/>
    <w:rsid w:val="007D5D1F"/>
    <w:rsid w:val="007D6A07"/>
    <w:rsid w:val="007E0E48"/>
    <w:rsid w:val="007E1D0F"/>
    <w:rsid w:val="007E2A38"/>
    <w:rsid w:val="007E33A1"/>
    <w:rsid w:val="007E4991"/>
    <w:rsid w:val="007E4AF8"/>
    <w:rsid w:val="007E57AD"/>
    <w:rsid w:val="007F0216"/>
    <w:rsid w:val="007F0861"/>
    <w:rsid w:val="007F0F4A"/>
    <w:rsid w:val="007F14DE"/>
    <w:rsid w:val="007F1B4F"/>
    <w:rsid w:val="007F2557"/>
    <w:rsid w:val="007F291B"/>
    <w:rsid w:val="007F2AA9"/>
    <w:rsid w:val="007F2F1E"/>
    <w:rsid w:val="007F3A2A"/>
    <w:rsid w:val="007F3B6C"/>
    <w:rsid w:val="007F425A"/>
    <w:rsid w:val="007F5736"/>
    <w:rsid w:val="007F5768"/>
    <w:rsid w:val="007F6F78"/>
    <w:rsid w:val="00801886"/>
    <w:rsid w:val="008028A4"/>
    <w:rsid w:val="00803E9D"/>
    <w:rsid w:val="008058E6"/>
    <w:rsid w:val="00805CA2"/>
    <w:rsid w:val="00805EE8"/>
    <w:rsid w:val="00807EE8"/>
    <w:rsid w:val="008104E4"/>
    <w:rsid w:val="00810FEE"/>
    <w:rsid w:val="00812481"/>
    <w:rsid w:val="00814429"/>
    <w:rsid w:val="00816DE9"/>
    <w:rsid w:val="00820B25"/>
    <w:rsid w:val="00824867"/>
    <w:rsid w:val="00824F13"/>
    <w:rsid w:val="00825FDD"/>
    <w:rsid w:val="00826732"/>
    <w:rsid w:val="00826D83"/>
    <w:rsid w:val="0082718C"/>
    <w:rsid w:val="00830747"/>
    <w:rsid w:val="00830968"/>
    <w:rsid w:val="008344DE"/>
    <w:rsid w:val="0083542B"/>
    <w:rsid w:val="00836443"/>
    <w:rsid w:val="00836CB5"/>
    <w:rsid w:val="00837FDF"/>
    <w:rsid w:val="0084235D"/>
    <w:rsid w:val="00844578"/>
    <w:rsid w:val="0084481F"/>
    <w:rsid w:val="00850FBB"/>
    <w:rsid w:val="00851DE4"/>
    <w:rsid w:val="00852CED"/>
    <w:rsid w:val="00855940"/>
    <w:rsid w:val="008569E2"/>
    <w:rsid w:val="0086119F"/>
    <w:rsid w:val="008614C8"/>
    <w:rsid w:val="00862676"/>
    <w:rsid w:val="00862C44"/>
    <w:rsid w:val="00864223"/>
    <w:rsid w:val="008671F1"/>
    <w:rsid w:val="0086786D"/>
    <w:rsid w:val="00870369"/>
    <w:rsid w:val="00874806"/>
    <w:rsid w:val="00874CD0"/>
    <w:rsid w:val="00874EF7"/>
    <w:rsid w:val="00875227"/>
    <w:rsid w:val="008768AB"/>
    <w:rsid w:val="008768CA"/>
    <w:rsid w:val="00877A33"/>
    <w:rsid w:val="00877CF6"/>
    <w:rsid w:val="0088464B"/>
    <w:rsid w:val="008853FE"/>
    <w:rsid w:val="008908E2"/>
    <w:rsid w:val="008929FC"/>
    <w:rsid w:val="0089423F"/>
    <w:rsid w:val="00895B90"/>
    <w:rsid w:val="008974F7"/>
    <w:rsid w:val="008A093A"/>
    <w:rsid w:val="008A2C63"/>
    <w:rsid w:val="008A39D7"/>
    <w:rsid w:val="008A4747"/>
    <w:rsid w:val="008A7F78"/>
    <w:rsid w:val="008B4142"/>
    <w:rsid w:val="008B48A0"/>
    <w:rsid w:val="008B5598"/>
    <w:rsid w:val="008B5634"/>
    <w:rsid w:val="008B5A30"/>
    <w:rsid w:val="008B69AC"/>
    <w:rsid w:val="008C0511"/>
    <w:rsid w:val="008C06C2"/>
    <w:rsid w:val="008C2A97"/>
    <w:rsid w:val="008C384C"/>
    <w:rsid w:val="008C45AE"/>
    <w:rsid w:val="008C47C8"/>
    <w:rsid w:val="008C51F8"/>
    <w:rsid w:val="008C637E"/>
    <w:rsid w:val="008D06A9"/>
    <w:rsid w:val="008D0FD0"/>
    <w:rsid w:val="008D108C"/>
    <w:rsid w:val="008D1EEC"/>
    <w:rsid w:val="008D25F1"/>
    <w:rsid w:val="008D5B4B"/>
    <w:rsid w:val="008D6D00"/>
    <w:rsid w:val="008D7E65"/>
    <w:rsid w:val="008D7FC0"/>
    <w:rsid w:val="008E0255"/>
    <w:rsid w:val="008E1E8E"/>
    <w:rsid w:val="008E6245"/>
    <w:rsid w:val="008E7986"/>
    <w:rsid w:val="008F194F"/>
    <w:rsid w:val="008F2044"/>
    <w:rsid w:val="008F5338"/>
    <w:rsid w:val="008F5928"/>
    <w:rsid w:val="008F65D3"/>
    <w:rsid w:val="00900A09"/>
    <w:rsid w:val="009020CF"/>
    <w:rsid w:val="0090271F"/>
    <w:rsid w:val="00902E23"/>
    <w:rsid w:val="00903EF6"/>
    <w:rsid w:val="00904493"/>
    <w:rsid w:val="00904E29"/>
    <w:rsid w:val="00905B7B"/>
    <w:rsid w:val="009077CF"/>
    <w:rsid w:val="009114D7"/>
    <w:rsid w:val="0091348E"/>
    <w:rsid w:val="00913CDB"/>
    <w:rsid w:val="00916B79"/>
    <w:rsid w:val="009172EC"/>
    <w:rsid w:val="00917CCB"/>
    <w:rsid w:val="00920AF7"/>
    <w:rsid w:val="00920BF7"/>
    <w:rsid w:val="00921664"/>
    <w:rsid w:val="00922D77"/>
    <w:rsid w:val="00922D89"/>
    <w:rsid w:val="00924528"/>
    <w:rsid w:val="009253DD"/>
    <w:rsid w:val="00925445"/>
    <w:rsid w:val="009266A0"/>
    <w:rsid w:val="009302CF"/>
    <w:rsid w:val="0093165C"/>
    <w:rsid w:val="0093316D"/>
    <w:rsid w:val="009338EA"/>
    <w:rsid w:val="009350F0"/>
    <w:rsid w:val="00936F86"/>
    <w:rsid w:val="00940D43"/>
    <w:rsid w:val="00941FCB"/>
    <w:rsid w:val="00942EC2"/>
    <w:rsid w:val="00943C42"/>
    <w:rsid w:val="00945192"/>
    <w:rsid w:val="009452F3"/>
    <w:rsid w:val="00945B01"/>
    <w:rsid w:val="00947BE2"/>
    <w:rsid w:val="009516F6"/>
    <w:rsid w:val="009569A1"/>
    <w:rsid w:val="00956B2E"/>
    <w:rsid w:val="00957DE8"/>
    <w:rsid w:val="009619DE"/>
    <w:rsid w:val="009633B2"/>
    <w:rsid w:val="0096388D"/>
    <w:rsid w:val="00963B7B"/>
    <w:rsid w:val="00964EEE"/>
    <w:rsid w:val="009734DD"/>
    <w:rsid w:val="00973F14"/>
    <w:rsid w:val="00974D08"/>
    <w:rsid w:val="00974DFC"/>
    <w:rsid w:val="0097761D"/>
    <w:rsid w:val="00984BEF"/>
    <w:rsid w:val="009860B5"/>
    <w:rsid w:val="00986430"/>
    <w:rsid w:val="00987C91"/>
    <w:rsid w:val="00990021"/>
    <w:rsid w:val="00990C59"/>
    <w:rsid w:val="00992444"/>
    <w:rsid w:val="0099327F"/>
    <w:rsid w:val="00993BA7"/>
    <w:rsid w:val="00993E66"/>
    <w:rsid w:val="009943F1"/>
    <w:rsid w:val="00994F73"/>
    <w:rsid w:val="009A221B"/>
    <w:rsid w:val="009A3B6B"/>
    <w:rsid w:val="009A40BF"/>
    <w:rsid w:val="009A646B"/>
    <w:rsid w:val="009A760C"/>
    <w:rsid w:val="009A7D77"/>
    <w:rsid w:val="009B0929"/>
    <w:rsid w:val="009B1B30"/>
    <w:rsid w:val="009B3319"/>
    <w:rsid w:val="009B3C6C"/>
    <w:rsid w:val="009B56FF"/>
    <w:rsid w:val="009B642E"/>
    <w:rsid w:val="009B68F8"/>
    <w:rsid w:val="009C067E"/>
    <w:rsid w:val="009C13C6"/>
    <w:rsid w:val="009C1CEF"/>
    <w:rsid w:val="009C2A5A"/>
    <w:rsid w:val="009C2B6D"/>
    <w:rsid w:val="009C2C1B"/>
    <w:rsid w:val="009C34D5"/>
    <w:rsid w:val="009C4AC9"/>
    <w:rsid w:val="009D0D8F"/>
    <w:rsid w:val="009D21EA"/>
    <w:rsid w:val="009D226F"/>
    <w:rsid w:val="009D2404"/>
    <w:rsid w:val="009D246A"/>
    <w:rsid w:val="009D3639"/>
    <w:rsid w:val="009D75F3"/>
    <w:rsid w:val="009E0C85"/>
    <w:rsid w:val="009E3F3C"/>
    <w:rsid w:val="009E56FA"/>
    <w:rsid w:val="009E6446"/>
    <w:rsid w:val="009E6F2A"/>
    <w:rsid w:val="009E7750"/>
    <w:rsid w:val="009E7976"/>
    <w:rsid w:val="009F051B"/>
    <w:rsid w:val="009F1A90"/>
    <w:rsid w:val="009F1D6A"/>
    <w:rsid w:val="009F37B7"/>
    <w:rsid w:val="009F4AC4"/>
    <w:rsid w:val="009F4EEB"/>
    <w:rsid w:val="009F5E43"/>
    <w:rsid w:val="00A0120D"/>
    <w:rsid w:val="00A064AC"/>
    <w:rsid w:val="00A10F02"/>
    <w:rsid w:val="00A146E3"/>
    <w:rsid w:val="00A14E73"/>
    <w:rsid w:val="00A15BD4"/>
    <w:rsid w:val="00A16315"/>
    <w:rsid w:val="00A164B4"/>
    <w:rsid w:val="00A16B8F"/>
    <w:rsid w:val="00A175F0"/>
    <w:rsid w:val="00A179E7"/>
    <w:rsid w:val="00A17F57"/>
    <w:rsid w:val="00A200FA"/>
    <w:rsid w:val="00A2083A"/>
    <w:rsid w:val="00A20E11"/>
    <w:rsid w:val="00A21055"/>
    <w:rsid w:val="00A21697"/>
    <w:rsid w:val="00A2276D"/>
    <w:rsid w:val="00A2341D"/>
    <w:rsid w:val="00A2361D"/>
    <w:rsid w:val="00A24E12"/>
    <w:rsid w:val="00A252E2"/>
    <w:rsid w:val="00A25B0C"/>
    <w:rsid w:val="00A26821"/>
    <w:rsid w:val="00A26956"/>
    <w:rsid w:val="00A270AD"/>
    <w:rsid w:val="00A27588"/>
    <w:rsid w:val="00A309A6"/>
    <w:rsid w:val="00A30E3E"/>
    <w:rsid w:val="00A312A5"/>
    <w:rsid w:val="00A34A2F"/>
    <w:rsid w:val="00A34EB1"/>
    <w:rsid w:val="00A3707C"/>
    <w:rsid w:val="00A37F70"/>
    <w:rsid w:val="00A456BF"/>
    <w:rsid w:val="00A50038"/>
    <w:rsid w:val="00A53525"/>
    <w:rsid w:val="00A53724"/>
    <w:rsid w:val="00A54125"/>
    <w:rsid w:val="00A558BD"/>
    <w:rsid w:val="00A60200"/>
    <w:rsid w:val="00A64D9D"/>
    <w:rsid w:val="00A65D22"/>
    <w:rsid w:val="00A6628E"/>
    <w:rsid w:val="00A66A6C"/>
    <w:rsid w:val="00A70B96"/>
    <w:rsid w:val="00A71C57"/>
    <w:rsid w:val="00A73129"/>
    <w:rsid w:val="00A74B89"/>
    <w:rsid w:val="00A74C0F"/>
    <w:rsid w:val="00A768E6"/>
    <w:rsid w:val="00A7707C"/>
    <w:rsid w:val="00A773A1"/>
    <w:rsid w:val="00A815F8"/>
    <w:rsid w:val="00A82346"/>
    <w:rsid w:val="00A84761"/>
    <w:rsid w:val="00A84C98"/>
    <w:rsid w:val="00A84CE9"/>
    <w:rsid w:val="00A86987"/>
    <w:rsid w:val="00A8798C"/>
    <w:rsid w:val="00A90AB9"/>
    <w:rsid w:val="00A91526"/>
    <w:rsid w:val="00A91ADA"/>
    <w:rsid w:val="00A91E7B"/>
    <w:rsid w:val="00A92BA1"/>
    <w:rsid w:val="00A92DDA"/>
    <w:rsid w:val="00A949CB"/>
    <w:rsid w:val="00A955A1"/>
    <w:rsid w:val="00A9776A"/>
    <w:rsid w:val="00AA0C2D"/>
    <w:rsid w:val="00AA1E5C"/>
    <w:rsid w:val="00AA30F8"/>
    <w:rsid w:val="00AB0E32"/>
    <w:rsid w:val="00AB1B6E"/>
    <w:rsid w:val="00AB2D85"/>
    <w:rsid w:val="00AB4AD6"/>
    <w:rsid w:val="00AB4B65"/>
    <w:rsid w:val="00AB6061"/>
    <w:rsid w:val="00AB635B"/>
    <w:rsid w:val="00AB6DF1"/>
    <w:rsid w:val="00AC2D14"/>
    <w:rsid w:val="00AC558B"/>
    <w:rsid w:val="00AC64C4"/>
    <w:rsid w:val="00AC6BC6"/>
    <w:rsid w:val="00AD0CF7"/>
    <w:rsid w:val="00AD108D"/>
    <w:rsid w:val="00AD1833"/>
    <w:rsid w:val="00AD2DCE"/>
    <w:rsid w:val="00AD48DF"/>
    <w:rsid w:val="00AD4E3B"/>
    <w:rsid w:val="00AE0F4F"/>
    <w:rsid w:val="00AE28C1"/>
    <w:rsid w:val="00AE3797"/>
    <w:rsid w:val="00AE472A"/>
    <w:rsid w:val="00AE4BB3"/>
    <w:rsid w:val="00AE5566"/>
    <w:rsid w:val="00AF0560"/>
    <w:rsid w:val="00AF0F28"/>
    <w:rsid w:val="00AF142E"/>
    <w:rsid w:val="00AF3F0D"/>
    <w:rsid w:val="00AF48A1"/>
    <w:rsid w:val="00AF4E68"/>
    <w:rsid w:val="00AF5130"/>
    <w:rsid w:val="00AF6F1D"/>
    <w:rsid w:val="00AF7049"/>
    <w:rsid w:val="00AF7255"/>
    <w:rsid w:val="00B00CC1"/>
    <w:rsid w:val="00B01D94"/>
    <w:rsid w:val="00B0219B"/>
    <w:rsid w:val="00B02BC6"/>
    <w:rsid w:val="00B02C90"/>
    <w:rsid w:val="00B036C2"/>
    <w:rsid w:val="00B036C5"/>
    <w:rsid w:val="00B04944"/>
    <w:rsid w:val="00B055D4"/>
    <w:rsid w:val="00B074B4"/>
    <w:rsid w:val="00B07BF3"/>
    <w:rsid w:val="00B10484"/>
    <w:rsid w:val="00B10842"/>
    <w:rsid w:val="00B1161C"/>
    <w:rsid w:val="00B11B2E"/>
    <w:rsid w:val="00B130C5"/>
    <w:rsid w:val="00B13FDC"/>
    <w:rsid w:val="00B14007"/>
    <w:rsid w:val="00B14ED9"/>
    <w:rsid w:val="00B150A7"/>
    <w:rsid w:val="00B15449"/>
    <w:rsid w:val="00B15899"/>
    <w:rsid w:val="00B164B8"/>
    <w:rsid w:val="00B1719D"/>
    <w:rsid w:val="00B174A5"/>
    <w:rsid w:val="00B17D0E"/>
    <w:rsid w:val="00B20BBF"/>
    <w:rsid w:val="00B20D5D"/>
    <w:rsid w:val="00B21F86"/>
    <w:rsid w:val="00B22207"/>
    <w:rsid w:val="00B2388D"/>
    <w:rsid w:val="00B23D14"/>
    <w:rsid w:val="00B23FC5"/>
    <w:rsid w:val="00B26425"/>
    <w:rsid w:val="00B309D9"/>
    <w:rsid w:val="00B312F2"/>
    <w:rsid w:val="00B31AF8"/>
    <w:rsid w:val="00B3313E"/>
    <w:rsid w:val="00B337D5"/>
    <w:rsid w:val="00B34EB5"/>
    <w:rsid w:val="00B35701"/>
    <w:rsid w:val="00B36DD5"/>
    <w:rsid w:val="00B372AE"/>
    <w:rsid w:val="00B40473"/>
    <w:rsid w:val="00B40649"/>
    <w:rsid w:val="00B40A30"/>
    <w:rsid w:val="00B418E8"/>
    <w:rsid w:val="00B42610"/>
    <w:rsid w:val="00B42F39"/>
    <w:rsid w:val="00B43702"/>
    <w:rsid w:val="00B456D3"/>
    <w:rsid w:val="00B4623E"/>
    <w:rsid w:val="00B46606"/>
    <w:rsid w:val="00B4670D"/>
    <w:rsid w:val="00B46FE3"/>
    <w:rsid w:val="00B471C7"/>
    <w:rsid w:val="00B5091E"/>
    <w:rsid w:val="00B50AEE"/>
    <w:rsid w:val="00B50EBD"/>
    <w:rsid w:val="00B5131D"/>
    <w:rsid w:val="00B53A5A"/>
    <w:rsid w:val="00B54057"/>
    <w:rsid w:val="00B5556F"/>
    <w:rsid w:val="00B55A2A"/>
    <w:rsid w:val="00B57085"/>
    <w:rsid w:val="00B5799A"/>
    <w:rsid w:val="00B60143"/>
    <w:rsid w:val="00B62D92"/>
    <w:rsid w:val="00B64332"/>
    <w:rsid w:val="00B64A44"/>
    <w:rsid w:val="00B659BB"/>
    <w:rsid w:val="00B6778E"/>
    <w:rsid w:val="00B704C9"/>
    <w:rsid w:val="00B71F49"/>
    <w:rsid w:val="00B724A5"/>
    <w:rsid w:val="00B74C05"/>
    <w:rsid w:val="00B753CC"/>
    <w:rsid w:val="00B765C8"/>
    <w:rsid w:val="00B7793A"/>
    <w:rsid w:val="00B80452"/>
    <w:rsid w:val="00B807EB"/>
    <w:rsid w:val="00B81C79"/>
    <w:rsid w:val="00B82DFD"/>
    <w:rsid w:val="00B84DD2"/>
    <w:rsid w:val="00B85B33"/>
    <w:rsid w:val="00B865E9"/>
    <w:rsid w:val="00B907BC"/>
    <w:rsid w:val="00B9159B"/>
    <w:rsid w:val="00B92889"/>
    <w:rsid w:val="00B92E6B"/>
    <w:rsid w:val="00B93086"/>
    <w:rsid w:val="00B935C2"/>
    <w:rsid w:val="00B94827"/>
    <w:rsid w:val="00B9558B"/>
    <w:rsid w:val="00B972EE"/>
    <w:rsid w:val="00B97442"/>
    <w:rsid w:val="00BA0942"/>
    <w:rsid w:val="00BA19ED"/>
    <w:rsid w:val="00BA1CFF"/>
    <w:rsid w:val="00BA300B"/>
    <w:rsid w:val="00BA4B8D"/>
    <w:rsid w:val="00BA4F78"/>
    <w:rsid w:val="00BA705F"/>
    <w:rsid w:val="00BB090E"/>
    <w:rsid w:val="00BB0CC4"/>
    <w:rsid w:val="00BB1A37"/>
    <w:rsid w:val="00BB22A8"/>
    <w:rsid w:val="00BB306C"/>
    <w:rsid w:val="00BB3B7A"/>
    <w:rsid w:val="00BB41E6"/>
    <w:rsid w:val="00BB4783"/>
    <w:rsid w:val="00BC0186"/>
    <w:rsid w:val="00BC0F7D"/>
    <w:rsid w:val="00BC111F"/>
    <w:rsid w:val="00BC1C56"/>
    <w:rsid w:val="00BC1D8D"/>
    <w:rsid w:val="00BC22E8"/>
    <w:rsid w:val="00BC371B"/>
    <w:rsid w:val="00BC3CFD"/>
    <w:rsid w:val="00BC4564"/>
    <w:rsid w:val="00BC4B89"/>
    <w:rsid w:val="00BC5664"/>
    <w:rsid w:val="00BC567A"/>
    <w:rsid w:val="00BC5C19"/>
    <w:rsid w:val="00BC7B0D"/>
    <w:rsid w:val="00BD0B2C"/>
    <w:rsid w:val="00BD19D1"/>
    <w:rsid w:val="00BD1D84"/>
    <w:rsid w:val="00BD69CB"/>
    <w:rsid w:val="00BD760D"/>
    <w:rsid w:val="00BD7CA8"/>
    <w:rsid w:val="00BE1F22"/>
    <w:rsid w:val="00BE3255"/>
    <w:rsid w:val="00BE4318"/>
    <w:rsid w:val="00BE60A9"/>
    <w:rsid w:val="00BE61F0"/>
    <w:rsid w:val="00BE6772"/>
    <w:rsid w:val="00BE6B90"/>
    <w:rsid w:val="00BE79AD"/>
    <w:rsid w:val="00BF07F2"/>
    <w:rsid w:val="00BF128E"/>
    <w:rsid w:val="00BF16AD"/>
    <w:rsid w:val="00BF4332"/>
    <w:rsid w:val="00BF44CD"/>
    <w:rsid w:val="00BF4736"/>
    <w:rsid w:val="00BF4B52"/>
    <w:rsid w:val="00BF72A7"/>
    <w:rsid w:val="00C00E4F"/>
    <w:rsid w:val="00C01D8A"/>
    <w:rsid w:val="00C031FD"/>
    <w:rsid w:val="00C048B3"/>
    <w:rsid w:val="00C05D99"/>
    <w:rsid w:val="00C05FBC"/>
    <w:rsid w:val="00C062B4"/>
    <w:rsid w:val="00C07B1F"/>
    <w:rsid w:val="00C07C61"/>
    <w:rsid w:val="00C07DD1"/>
    <w:rsid w:val="00C07FE6"/>
    <w:rsid w:val="00C13411"/>
    <w:rsid w:val="00C1496A"/>
    <w:rsid w:val="00C14C88"/>
    <w:rsid w:val="00C15F1C"/>
    <w:rsid w:val="00C176BE"/>
    <w:rsid w:val="00C20E3C"/>
    <w:rsid w:val="00C22FD9"/>
    <w:rsid w:val="00C26B20"/>
    <w:rsid w:val="00C33079"/>
    <w:rsid w:val="00C34F44"/>
    <w:rsid w:val="00C353F5"/>
    <w:rsid w:val="00C40F21"/>
    <w:rsid w:val="00C41ADB"/>
    <w:rsid w:val="00C4323D"/>
    <w:rsid w:val="00C43DCD"/>
    <w:rsid w:val="00C45231"/>
    <w:rsid w:val="00C4537F"/>
    <w:rsid w:val="00C45F09"/>
    <w:rsid w:val="00C4608A"/>
    <w:rsid w:val="00C4680F"/>
    <w:rsid w:val="00C4696B"/>
    <w:rsid w:val="00C477F8"/>
    <w:rsid w:val="00C51808"/>
    <w:rsid w:val="00C524FD"/>
    <w:rsid w:val="00C60E0A"/>
    <w:rsid w:val="00C61D1C"/>
    <w:rsid w:val="00C62D92"/>
    <w:rsid w:val="00C6423F"/>
    <w:rsid w:val="00C64910"/>
    <w:rsid w:val="00C66641"/>
    <w:rsid w:val="00C679F4"/>
    <w:rsid w:val="00C67FA4"/>
    <w:rsid w:val="00C70852"/>
    <w:rsid w:val="00C719EE"/>
    <w:rsid w:val="00C72344"/>
    <w:rsid w:val="00C72833"/>
    <w:rsid w:val="00C72CC0"/>
    <w:rsid w:val="00C730B2"/>
    <w:rsid w:val="00C748E6"/>
    <w:rsid w:val="00C74BA5"/>
    <w:rsid w:val="00C77770"/>
    <w:rsid w:val="00C80F1D"/>
    <w:rsid w:val="00C81A25"/>
    <w:rsid w:val="00C82FE7"/>
    <w:rsid w:val="00C857B6"/>
    <w:rsid w:val="00C875FE"/>
    <w:rsid w:val="00C90242"/>
    <w:rsid w:val="00C912C4"/>
    <w:rsid w:val="00C93562"/>
    <w:rsid w:val="00C93BFD"/>
    <w:rsid w:val="00C93F40"/>
    <w:rsid w:val="00C9406B"/>
    <w:rsid w:val="00C96D45"/>
    <w:rsid w:val="00C977EB"/>
    <w:rsid w:val="00CA2343"/>
    <w:rsid w:val="00CA3D0C"/>
    <w:rsid w:val="00CA5B2D"/>
    <w:rsid w:val="00CA7A00"/>
    <w:rsid w:val="00CA7AC2"/>
    <w:rsid w:val="00CB0015"/>
    <w:rsid w:val="00CB1C9F"/>
    <w:rsid w:val="00CB285D"/>
    <w:rsid w:val="00CB3795"/>
    <w:rsid w:val="00CB3AB8"/>
    <w:rsid w:val="00CB5386"/>
    <w:rsid w:val="00CB56D6"/>
    <w:rsid w:val="00CB5F29"/>
    <w:rsid w:val="00CB6457"/>
    <w:rsid w:val="00CC270F"/>
    <w:rsid w:val="00CC3848"/>
    <w:rsid w:val="00CC3DB4"/>
    <w:rsid w:val="00CC4A57"/>
    <w:rsid w:val="00CD07C6"/>
    <w:rsid w:val="00CD2766"/>
    <w:rsid w:val="00CD647F"/>
    <w:rsid w:val="00CD7151"/>
    <w:rsid w:val="00CD78CC"/>
    <w:rsid w:val="00CD7F6C"/>
    <w:rsid w:val="00CE029B"/>
    <w:rsid w:val="00CE182F"/>
    <w:rsid w:val="00CE1D83"/>
    <w:rsid w:val="00CE3059"/>
    <w:rsid w:val="00CE60D8"/>
    <w:rsid w:val="00CE693D"/>
    <w:rsid w:val="00CE7214"/>
    <w:rsid w:val="00CF03A8"/>
    <w:rsid w:val="00CF20E3"/>
    <w:rsid w:val="00CF244A"/>
    <w:rsid w:val="00CF2F3C"/>
    <w:rsid w:val="00CF31B1"/>
    <w:rsid w:val="00CF4411"/>
    <w:rsid w:val="00CF5290"/>
    <w:rsid w:val="00CF6A82"/>
    <w:rsid w:val="00CF7C3F"/>
    <w:rsid w:val="00D017AE"/>
    <w:rsid w:val="00D019E3"/>
    <w:rsid w:val="00D02D74"/>
    <w:rsid w:val="00D02FE2"/>
    <w:rsid w:val="00D04091"/>
    <w:rsid w:val="00D05BF1"/>
    <w:rsid w:val="00D060B3"/>
    <w:rsid w:val="00D0708E"/>
    <w:rsid w:val="00D07831"/>
    <w:rsid w:val="00D10D66"/>
    <w:rsid w:val="00D10FF7"/>
    <w:rsid w:val="00D11E6A"/>
    <w:rsid w:val="00D131EC"/>
    <w:rsid w:val="00D13715"/>
    <w:rsid w:val="00D15BBA"/>
    <w:rsid w:val="00D15E6B"/>
    <w:rsid w:val="00D16262"/>
    <w:rsid w:val="00D1720A"/>
    <w:rsid w:val="00D172FF"/>
    <w:rsid w:val="00D20AFC"/>
    <w:rsid w:val="00D21226"/>
    <w:rsid w:val="00D23384"/>
    <w:rsid w:val="00D24E86"/>
    <w:rsid w:val="00D268B7"/>
    <w:rsid w:val="00D27E01"/>
    <w:rsid w:val="00D309CC"/>
    <w:rsid w:val="00D31E74"/>
    <w:rsid w:val="00D33451"/>
    <w:rsid w:val="00D35C48"/>
    <w:rsid w:val="00D36D27"/>
    <w:rsid w:val="00D40761"/>
    <w:rsid w:val="00D40ACE"/>
    <w:rsid w:val="00D414E1"/>
    <w:rsid w:val="00D42A1A"/>
    <w:rsid w:val="00D453CD"/>
    <w:rsid w:val="00D45E83"/>
    <w:rsid w:val="00D46060"/>
    <w:rsid w:val="00D463FE"/>
    <w:rsid w:val="00D46431"/>
    <w:rsid w:val="00D468B9"/>
    <w:rsid w:val="00D46EDF"/>
    <w:rsid w:val="00D47F96"/>
    <w:rsid w:val="00D51B0F"/>
    <w:rsid w:val="00D56430"/>
    <w:rsid w:val="00D56A52"/>
    <w:rsid w:val="00D57972"/>
    <w:rsid w:val="00D60946"/>
    <w:rsid w:val="00D62DA5"/>
    <w:rsid w:val="00D6445E"/>
    <w:rsid w:val="00D646F5"/>
    <w:rsid w:val="00D647F0"/>
    <w:rsid w:val="00D656EB"/>
    <w:rsid w:val="00D65F45"/>
    <w:rsid w:val="00D66BB6"/>
    <w:rsid w:val="00D672B3"/>
    <w:rsid w:val="00D675A9"/>
    <w:rsid w:val="00D718ED"/>
    <w:rsid w:val="00D735AF"/>
    <w:rsid w:val="00D738D6"/>
    <w:rsid w:val="00D73A5D"/>
    <w:rsid w:val="00D73E55"/>
    <w:rsid w:val="00D7445B"/>
    <w:rsid w:val="00D755EB"/>
    <w:rsid w:val="00D76396"/>
    <w:rsid w:val="00D76591"/>
    <w:rsid w:val="00D77007"/>
    <w:rsid w:val="00D77160"/>
    <w:rsid w:val="00D80129"/>
    <w:rsid w:val="00D813B1"/>
    <w:rsid w:val="00D81453"/>
    <w:rsid w:val="00D81631"/>
    <w:rsid w:val="00D8249F"/>
    <w:rsid w:val="00D82699"/>
    <w:rsid w:val="00D83F4D"/>
    <w:rsid w:val="00D84260"/>
    <w:rsid w:val="00D84853"/>
    <w:rsid w:val="00D851AF"/>
    <w:rsid w:val="00D87E00"/>
    <w:rsid w:val="00D907F9"/>
    <w:rsid w:val="00D9134D"/>
    <w:rsid w:val="00D92C20"/>
    <w:rsid w:val="00D93120"/>
    <w:rsid w:val="00D93AF6"/>
    <w:rsid w:val="00D93FEB"/>
    <w:rsid w:val="00D94197"/>
    <w:rsid w:val="00D947CD"/>
    <w:rsid w:val="00D96048"/>
    <w:rsid w:val="00D97621"/>
    <w:rsid w:val="00D97D53"/>
    <w:rsid w:val="00DA0548"/>
    <w:rsid w:val="00DA0DE5"/>
    <w:rsid w:val="00DA116B"/>
    <w:rsid w:val="00DA3CF5"/>
    <w:rsid w:val="00DA4CD3"/>
    <w:rsid w:val="00DA76F2"/>
    <w:rsid w:val="00DA7A03"/>
    <w:rsid w:val="00DB12EC"/>
    <w:rsid w:val="00DB1818"/>
    <w:rsid w:val="00DB434C"/>
    <w:rsid w:val="00DB50F8"/>
    <w:rsid w:val="00DB5698"/>
    <w:rsid w:val="00DB71C0"/>
    <w:rsid w:val="00DC0E51"/>
    <w:rsid w:val="00DC156C"/>
    <w:rsid w:val="00DC1E1A"/>
    <w:rsid w:val="00DC2EC6"/>
    <w:rsid w:val="00DC309B"/>
    <w:rsid w:val="00DC382F"/>
    <w:rsid w:val="00DC4DA2"/>
    <w:rsid w:val="00DC53FE"/>
    <w:rsid w:val="00DC65CC"/>
    <w:rsid w:val="00DC6616"/>
    <w:rsid w:val="00DD0773"/>
    <w:rsid w:val="00DD46B3"/>
    <w:rsid w:val="00DD4C17"/>
    <w:rsid w:val="00DD5B05"/>
    <w:rsid w:val="00DD5D25"/>
    <w:rsid w:val="00DD65DC"/>
    <w:rsid w:val="00DD7FF2"/>
    <w:rsid w:val="00DE15B7"/>
    <w:rsid w:val="00DE3AF2"/>
    <w:rsid w:val="00DE5CB6"/>
    <w:rsid w:val="00DE62C0"/>
    <w:rsid w:val="00DE6DA3"/>
    <w:rsid w:val="00DE6E17"/>
    <w:rsid w:val="00DF0D85"/>
    <w:rsid w:val="00DF146D"/>
    <w:rsid w:val="00DF2B1F"/>
    <w:rsid w:val="00DF5E27"/>
    <w:rsid w:val="00DF6189"/>
    <w:rsid w:val="00DF62CD"/>
    <w:rsid w:val="00DF733D"/>
    <w:rsid w:val="00E00068"/>
    <w:rsid w:val="00E000D6"/>
    <w:rsid w:val="00E022DB"/>
    <w:rsid w:val="00E033B1"/>
    <w:rsid w:val="00E034CF"/>
    <w:rsid w:val="00E03895"/>
    <w:rsid w:val="00E03FF0"/>
    <w:rsid w:val="00E057D0"/>
    <w:rsid w:val="00E05DC0"/>
    <w:rsid w:val="00E0620F"/>
    <w:rsid w:val="00E06ECF"/>
    <w:rsid w:val="00E074E9"/>
    <w:rsid w:val="00E11770"/>
    <w:rsid w:val="00E11E42"/>
    <w:rsid w:val="00E125F2"/>
    <w:rsid w:val="00E13876"/>
    <w:rsid w:val="00E163F9"/>
    <w:rsid w:val="00E16509"/>
    <w:rsid w:val="00E168E8"/>
    <w:rsid w:val="00E17517"/>
    <w:rsid w:val="00E17B16"/>
    <w:rsid w:val="00E17B2C"/>
    <w:rsid w:val="00E204D8"/>
    <w:rsid w:val="00E2157A"/>
    <w:rsid w:val="00E22181"/>
    <w:rsid w:val="00E2397C"/>
    <w:rsid w:val="00E25D7E"/>
    <w:rsid w:val="00E27DA5"/>
    <w:rsid w:val="00E303C0"/>
    <w:rsid w:val="00E315D1"/>
    <w:rsid w:val="00E31A28"/>
    <w:rsid w:val="00E32473"/>
    <w:rsid w:val="00E3400D"/>
    <w:rsid w:val="00E341F7"/>
    <w:rsid w:val="00E34C44"/>
    <w:rsid w:val="00E35166"/>
    <w:rsid w:val="00E3557D"/>
    <w:rsid w:val="00E4054F"/>
    <w:rsid w:val="00E423D4"/>
    <w:rsid w:val="00E42DCF"/>
    <w:rsid w:val="00E43CAD"/>
    <w:rsid w:val="00E43D1A"/>
    <w:rsid w:val="00E44582"/>
    <w:rsid w:val="00E446E0"/>
    <w:rsid w:val="00E451CB"/>
    <w:rsid w:val="00E45CA3"/>
    <w:rsid w:val="00E472AE"/>
    <w:rsid w:val="00E507ED"/>
    <w:rsid w:val="00E518AF"/>
    <w:rsid w:val="00E51DBC"/>
    <w:rsid w:val="00E51F83"/>
    <w:rsid w:val="00E5209E"/>
    <w:rsid w:val="00E52814"/>
    <w:rsid w:val="00E53182"/>
    <w:rsid w:val="00E53585"/>
    <w:rsid w:val="00E542BC"/>
    <w:rsid w:val="00E551BD"/>
    <w:rsid w:val="00E5541B"/>
    <w:rsid w:val="00E576C9"/>
    <w:rsid w:val="00E6138C"/>
    <w:rsid w:val="00E617AF"/>
    <w:rsid w:val="00E61B6D"/>
    <w:rsid w:val="00E62991"/>
    <w:rsid w:val="00E63BEB"/>
    <w:rsid w:val="00E6571D"/>
    <w:rsid w:val="00E65AAE"/>
    <w:rsid w:val="00E67970"/>
    <w:rsid w:val="00E70537"/>
    <w:rsid w:val="00E7095F"/>
    <w:rsid w:val="00E70E92"/>
    <w:rsid w:val="00E72324"/>
    <w:rsid w:val="00E72ABE"/>
    <w:rsid w:val="00E74700"/>
    <w:rsid w:val="00E75C1B"/>
    <w:rsid w:val="00E760AD"/>
    <w:rsid w:val="00E76BD1"/>
    <w:rsid w:val="00E76DB3"/>
    <w:rsid w:val="00E77364"/>
    <w:rsid w:val="00E775CC"/>
    <w:rsid w:val="00E77645"/>
    <w:rsid w:val="00E803C2"/>
    <w:rsid w:val="00E80DE4"/>
    <w:rsid w:val="00E80F4D"/>
    <w:rsid w:val="00E83A08"/>
    <w:rsid w:val="00E84B0D"/>
    <w:rsid w:val="00E84D1D"/>
    <w:rsid w:val="00E8577E"/>
    <w:rsid w:val="00E8624B"/>
    <w:rsid w:val="00E86B02"/>
    <w:rsid w:val="00E90937"/>
    <w:rsid w:val="00E909D4"/>
    <w:rsid w:val="00E90F6A"/>
    <w:rsid w:val="00E90FAD"/>
    <w:rsid w:val="00E910A1"/>
    <w:rsid w:val="00E91C9A"/>
    <w:rsid w:val="00E922EA"/>
    <w:rsid w:val="00E92F48"/>
    <w:rsid w:val="00E95107"/>
    <w:rsid w:val="00E97252"/>
    <w:rsid w:val="00E9743E"/>
    <w:rsid w:val="00E97D12"/>
    <w:rsid w:val="00E97D6C"/>
    <w:rsid w:val="00EA0436"/>
    <w:rsid w:val="00EA0C1E"/>
    <w:rsid w:val="00EA0C85"/>
    <w:rsid w:val="00EA1077"/>
    <w:rsid w:val="00EA3376"/>
    <w:rsid w:val="00EA4400"/>
    <w:rsid w:val="00EA6749"/>
    <w:rsid w:val="00EB0061"/>
    <w:rsid w:val="00EB0C57"/>
    <w:rsid w:val="00EB2076"/>
    <w:rsid w:val="00EB2168"/>
    <w:rsid w:val="00EB22F4"/>
    <w:rsid w:val="00EB387E"/>
    <w:rsid w:val="00EB6076"/>
    <w:rsid w:val="00EB6C91"/>
    <w:rsid w:val="00EB79D3"/>
    <w:rsid w:val="00EC0F24"/>
    <w:rsid w:val="00EC14EF"/>
    <w:rsid w:val="00EC1EEF"/>
    <w:rsid w:val="00EC3517"/>
    <w:rsid w:val="00EC4A25"/>
    <w:rsid w:val="00EC60FB"/>
    <w:rsid w:val="00EC6B55"/>
    <w:rsid w:val="00EC7000"/>
    <w:rsid w:val="00EC7900"/>
    <w:rsid w:val="00EC7F58"/>
    <w:rsid w:val="00ED03E6"/>
    <w:rsid w:val="00ED0967"/>
    <w:rsid w:val="00ED2EDC"/>
    <w:rsid w:val="00ED372F"/>
    <w:rsid w:val="00ED4B32"/>
    <w:rsid w:val="00ED5216"/>
    <w:rsid w:val="00ED73DF"/>
    <w:rsid w:val="00EE06A9"/>
    <w:rsid w:val="00EE184F"/>
    <w:rsid w:val="00EE1E7C"/>
    <w:rsid w:val="00EE5AA7"/>
    <w:rsid w:val="00EF2DF8"/>
    <w:rsid w:val="00EF3C8A"/>
    <w:rsid w:val="00EF587C"/>
    <w:rsid w:val="00EF6FF0"/>
    <w:rsid w:val="00F00995"/>
    <w:rsid w:val="00F015A4"/>
    <w:rsid w:val="00F01D86"/>
    <w:rsid w:val="00F025A2"/>
    <w:rsid w:val="00F0400F"/>
    <w:rsid w:val="00F04712"/>
    <w:rsid w:val="00F05221"/>
    <w:rsid w:val="00F0625F"/>
    <w:rsid w:val="00F06786"/>
    <w:rsid w:val="00F07EDC"/>
    <w:rsid w:val="00F100F2"/>
    <w:rsid w:val="00F129F5"/>
    <w:rsid w:val="00F139D9"/>
    <w:rsid w:val="00F14795"/>
    <w:rsid w:val="00F1522E"/>
    <w:rsid w:val="00F15486"/>
    <w:rsid w:val="00F16143"/>
    <w:rsid w:val="00F200F9"/>
    <w:rsid w:val="00F21311"/>
    <w:rsid w:val="00F22EC7"/>
    <w:rsid w:val="00F273D3"/>
    <w:rsid w:val="00F279E7"/>
    <w:rsid w:val="00F27CC9"/>
    <w:rsid w:val="00F314DF"/>
    <w:rsid w:val="00F324C7"/>
    <w:rsid w:val="00F325C8"/>
    <w:rsid w:val="00F33F4B"/>
    <w:rsid w:val="00F33FA9"/>
    <w:rsid w:val="00F35577"/>
    <w:rsid w:val="00F365EE"/>
    <w:rsid w:val="00F366CB"/>
    <w:rsid w:val="00F369DD"/>
    <w:rsid w:val="00F37626"/>
    <w:rsid w:val="00F40EAB"/>
    <w:rsid w:val="00F41764"/>
    <w:rsid w:val="00F43C98"/>
    <w:rsid w:val="00F44AA2"/>
    <w:rsid w:val="00F44D05"/>
    <w:rsid w:val="00F45ED8"/>
    <w:rsid w:val="00F46279"/>
    <w:rsid w:val="00F501C5"/>
    <w:rsid w:val="00F50255"/>
    <w:rsid w:val="00F50A64"/>
    <w:rsid w:val="00F51BD3"/>
    <w:rsid w:val="00F51C98"/>
    <w:rsid w:val="00F52B70"/>
    <w:rsid w:val="00F52C27"/>
    <w:rsid w:val="00F533B4"/>
    <w:rsid w:val="00F53958"/>
    <w:rsid w:val="00F53A99"/>
    <w:rsid w:val="00F5402A"/>
    <w:rsid w:val="00F55754"/>
    <w:rsid w:val="00F613C7"/>
    <w:rsid w:val="00F614AC"/>
    <w:rsid w:val="00F62AEB"/>
    <w:rsid w:val="00F6358D"/>
    <w:rsid w:val="00F63CA6"/>
    <w:rsid w:val="00F64319"/>
    <w:rsid w:val="00F64C9E"/>
    <w:rsid w:val="00F653B8"/>
    <w:rsid w:val="00F655F3"/>
    <w:rsid w:val="00F65781"/>
    <w:rsid w:val="00F65E1B"/>
    <w:rsid w:val="00F67E8B"/>
    <w:rsid w:val="00F67EE8"/>
    <w:rsid w:val="00F70647"/>
    <w:rsid w:val="00F71825"/>
    <w:rsid w:val="00F7204E"/>
    <w:rsid w:val="00F7302D"/>
    <w:rsid w:val="00F73852"/>
    <w:rsid w:val="00F73D52"/>
    <w:rsid w:val="00F73F71"/>
    <w:rsid w:val="00F74DDC"/>
    <w:rsid w:val="00F81946"/>
    <w:rsid w:val="00F81A27"/>
    <w:rsid w:val="00F8204C"/>
    <w:rsid w:val="00F8214F"/>
    <w:rsid w:val="00F83432"/>
    <w:rsid w:val="00F85B31"/>
    <w:rsid w:val="00F8688A"/>
    <w:rsid w:val="00F87A6E"/>
    <w:rsid w:val="00F90B33"/>
    <w:rsid w:val="00F90B8B"/>
    <w:rsid w:val="00F9227A"/>
    <w:rsid w:val="00F92A6F"/>
    <w:rsid w:val="00F9317E"/>
    <w:rsid w:val="00F9377C"/>
    <w:rsid w:val="00F950C3"/>
    <w:rsid w:val="00F95688"/>
    <w:rsid w:val="00F95EDB"/>
    <w:rsid w:val="00F96804"/>
    <w:rsid w:val="00F96B75"/>
    <w:rsid w:val="00F96BAB"/>
    <w:rsid w:val="00F97163"/>
    <w:rsid w:val="00F97D2F"/>
    <w:rsid w:val="00F97DC7"/>
    <w:rsid w:val="00FA0DFF"/>
    <w:rsid w:val="00FA1266"/>
    <w:rsid w:val="00FA32A0"/>
    <w:rsid w:val="00FA46B2"/>
    <w:rsid w:val="00FA7625"/>
    <w:rsid w:val="00FA77A1"/>
    <w:rsid w:val="00FA7B19"/>
    <w:rsid w:val="00FB03C5"/>
    <w:rsid w:val="00FB1A32"/>
    <w:rsid w:val="00FB4B1A"/>
    <w:rsid w:val="00FB52FC"/>
    <w:rsid w:val="00FB5712"/>
    <w:rsid w:val="00FB7AD7"/>
    <w:rsid w:val="00FB7DF6"/>
    <w:rsid w:val="00FC02A4"/>
    <w:rsid w:val="00FC1192"/>
    <w:rsid w:val="00FC133C"/>
    <w:rsid w:val="00FC1803"/>
    <w:rsid w:val="00FC259F"/>
    <w:rsid w:val="00FC33B0"/>
    <w:rsid w:val="00FC424A"/>
    <w:rsid w:val="00FC4DA7"/>
    <w:rsid w:val="00FC70D8"/>
    <w:rsid w:val="00FC7900"/>
    <w:rsid w:val="00FD145E"/>
    <w:rsid w:val="00FD315A"/>
    <w:rsid w:val="00FD356E"/>
    <w:rsid w:val="00FD53F3"/>
    <w:rsid w:val="00FD55EF"/>
    <w:rsid w:val="00FD6FA7"/>
    <w:rsid w:val="00FD72D1"/>
    <w:rsid w:val="00FD7C3A"/>
    <w:rsid w:val="00FE25EF"/>
    <w:rsid w:val="00FE2D04"/>
    <w:rsid w:val="00FE318F"/>
    <w:rsid w:val="00FE3E94"/>
    <w:rsid w:val="00FE3EF3"/>
    <w:rsid w:val="00FE4CDB"/>
    <w:rsid w:val="00FE63B0"/>
    <w:rsid w:val="00FE6A46"/>
    <w:rsid w:val="00FE746F"/>
    <w:rsid w:val="00FE7771"/>
    <w:rsid w:val="00FF62AF"/>
    <w:rsid w:val="00FF66F4"/>
    <w:rsid w:val="00FF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出段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uiPriority w:val="99"/>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0018ED"/>
    <w:rPr>
      <w:lang w:eastAsia="en-US"/>
    </w:rPr>
  </w:style>
  <w:style w:type="paragraph" w:styleId="HTMLPreformatted">
    <w:name w:val="HTML Preformatted"/>
    <w:basedOn w:val="Normal"/>
    <w:link w:val="HTMLPreformattedChar"/>
    <w:rsid w:val="00F501C5"/>
    <w:pPr>
      <w:spacing w:after="0"/>
    </w:pPr>
    <w:rPr>
      <w:rFonts w:ascii="Consolas" w:hAnsi="Consolas" w:cs="Consolas"/>
    </w:rPr>
  </w:style>
  <w:style w:type="character" w:customStyle="1" w:styleId="HTMLPreformattedChar">
    <w:name w:val="HTML Preformatted Char"/>
    <w:basedOn w:val="DefaultParagraphFont"/>
    <w:link w:val="HTMLPreformatted"/>
    <w:rsid w:val="00F501C5"/>
    <w:rPr>
      <w:rFonts w:ascii="Consolas" w:hAnsi="Consolas" w:cs="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04630123">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1844488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082534003">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816012">
      <w:bodyDiv w:val="1"/>
      <w:marLeft w:val="0"/>
      <w:marRight w:val="0"/>
      <w:marTop w:val="0"/>
      <w:marBottom w:val="0"/>
      <w:divBdr>
        <w:top w:val="none" w:sz="0" w:space="0" w:color="auto"/>
        <w:left w:val="none" w:sz="0" w:space="0" w:color="auto"/>
        <w:bottom w:val="none" w:sz="0" w:space="0" w:color="auto"/>
        <w:right w:val="none" w:sz="0" w:space="0" w:color="auto"/>
      </w:divBdr>
    </w:div>
    <w:div w:id="1489636501">
      <w:bodyDiv w:val="1"/>
      <w:marLeft w:val="0"/>
      <w:marRight w:val="0"/>
      <w:marTop w:val="0"/>
      <w:marBottom w:val="0"/>
      <w:divBdr>
        <w:top w:val="none" w:sz="0" w:space="0" w:color="auto"/>
        <w:left w:val="none" w:sz="0" w:space="0" w:color="auto"/>
        <w:bottom w:val="none" w:sz="0" w:space="0" w:color="auto"/>
        <w:right w:val="none" w:sz="0" w:space="0" w:color="auto"/>
      </w:divBdr>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915</TotalTime>
  <Pages>4</Pages>
  <Words>1198</Words>
  <Characters>6834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217</cp:revision>
  <cp:lastPrinted>2019-02-25T14:05:00Z</cp:lastPrinted>
  <dcterms:created xsi:type="dcterms:W3CDTF">2025-03-03T18:07:00Z</dcterms:created>
  <dcterms:modified xsi:type="dcterms:W3CDTF">2025-08-15T16:54:00Z</dcterms:modified>
  <cp:category/>
</cp:coreProperties>
</file>